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9B96" w14:textId="7C4F38BD" w:rsidR="00974FCC" w:rsidRPr="00D201DA" w:rsidRDefault="005E144D" w:rsidP="00D201DA">
      <w:pPr>
        <w:pStyle w:val="Heading1"/>
        <w:bidi/>
        <w:spacing w:after="240" w:line="240" w:lineRule="auto"/>
        <w:rPr>
          <w:rFonts w:ascii="Dubai" w:hAnsi="Dubai" w:cs="Dubai"/>
          <w:color w:val="538135"/>
          <w:lang w:val="en-AU"/>
        </w:rPr>
      </w:pPr>
      <w:r w:rsidRPr="00D201DA">
        <w:rPr>
          <w:rFonts w:ascii="Dubai" w:hAnsi="Dubai" w:cs="Dubai"/>
          <w:color w:val="538135"/>
          <w:rtl/>
          <w:lang w:val="ar"/>
        </w:rPr>
        <w:t>الحد من مخاطر الكوارث الشامل للإعاقة ومعيار ممارسة NDIS</w:t>
      </w:r>
    </w:p>
    <w:p w14:paraId="5C0EA9B3" w14:textId="77777777" w:rsidR="006419C5" w:rsidRPr="005136BD" w:rsidRDefault="005E144D" w:rsidP="005136BD">
      <w:pPr>
        <w:bidi/>
        <w:spacing w:after="120" w:line="240" w:lineRule="auto"/>
        <w:rPr>
          <w:rFonts w:ascii="Dubai" w:hAnsi="Dubai" w:cs="Dubai"/>
          <w:b/>
          <w:bCs/>
        </w:rPr>
      </w:pPr>
      <w:r w:rsidRPr="005136BD">
        <w:rPr>
          <w:rFonts w:ascii="Dubai" w:hAnsi="Dubai" w:cs="Dubai"/>
          <w:b/>
          <w:bCs/>
          <w:rtl/>
          <w:lang w:val="ar"/>
        </w:rPr>
        <w:t>يشير الحد من مخاطر الكوارث الشامل للإعاقة (DIDRR) إلى عملية تقليل مخاطر الكوارث للأشخاص ذوي الإعاقة، وضمان سلامتهم ومرونتهم ومشاركتهم الهادفة في جميع مراحل إدارة الكوارث.</w:t>
      </w:r>
    </w:p>
    <w:p w14:paraId="39911A8F" w14:textId="77777777" w:rsidR="00DB2622" w:rsidRPr="005136BD" w:rsidRDefault="005E144D" w:rsidP="005136BD">
      <w:pPr>
        <w:bidi/>
        <w:spacing w:after="120" w:line="240" w:lineRule="auto"/>
        <w:rPr>
          <w:rFonts w:ascii="Dubai" w:hAnsi="Dubai" w:cs="Dubai"/>
        </w:rPr>
      </w:pPr>
      <w:r w:rsidRPr="005136BD">
        <w:rPr>
          <w:rFonts w:ascii="Dubai" w:hAnsi="Dubai" w:cs="Dubai"/>
          <w:rtl/>
          <w:lang w:val="ar"/>
        </w:rPr>
        <w:t>يدرك DIDRR أن الأشخاص ذوي الإعاقة يتأثرون بشكل غير متناسب بالكوارث وحالات الطوارئ. من خلال اعتماد مناهج شاملة، يهدف DIDRR إلى الحد من نقاط الضعف، وتعزيز المرونة، وتعزيز حقوق ورفاه الأشخاص ذوي الإعاقة.</w:t>
      </w:r>
    </w:p>
    <w:p w14:paraId="0EB4B452" w14:textId="77777777" w:rsidR="00450CC3" w:rsidRPr="00D201DA" w:rsidRDefault="005E144D" w:rsidP="005136BD">
      <w:pPr>
        <w:pStyle w:val="Heading2"/>
        <w:bidi/>
        <w:spacing w:line="240" w:lineRule="auto"/>
        <w:rPr>
          <w:rFonts w:ascii="Dubai" w:hAnsi="Dubai" w:cs="Dubai"/>
          <w:color w:val="538135"/>
        </w:rPr>
      </w:pPr>
      <w:r w:rsidRPr="00D201DA">
        <w:rPr>
          <w:rFonts w:ascii="Dubai" w:hAnsi="Dubai" w:cs="Dubai"/>
          <w:color w:val="538135"/>
          <w:rtl/>
          <w:lang w:val="ar"/>
        </w:rPr>
        <w:t>التزاماتنا - مزودو NDIS</w:t>
      </w:r>
    </w:p>
    <w:p w14:paraId="4576757F" w14:textId="77777777" w:rsidR="00246298" w:rsidRPr="005136BD" w:rsidRDefault="005E144D" w:rsidP="005136BD">
      <w:pPr>
        <w:bidi/>
        <w:spacing w:after="120" w:line="240" w:lineRule="auto"/>
        <w:rPr>
          <w:rFonts w:ascii="Dubai" w:hAnsi="Dubai" w:cs="Dubai"/>
          <w:lang w:val="en-AU"/>
        </w:rPr>
      </w:pPr>
      <w:r w:rsidRPr="005136BD">
        <w:rPr>
          <w:rFonts w:ascii="Dubai" w:hAnsi="Dubai" w:cs="Dubai"/>
          <w:rtl/>
          <w:lang w:val="ar"/>
        </w:rPr>
        <w:t>إن التزامات أستراليا بإدارة المخاطر التي تشكلها حالات الطوارئ والكوارث على الأشخاص ذوي الإعاقة مبينة في سلسلة من الأطر الدولية والمحلية. يلتزم مزودو NDIS بالتأكد من أن ممارساتهم تعكس المبادئ المضمنة في هذه الوثائق، بالإضافة إلى تلبية معيار ممارسات NDIS لإدارة الطوارئ والكوارث.</w:t>
      </w:r>
    </w:p>
    <w:p w14:paraId="6C865C74" w14:textId="4F396A99" w:rsidR="002C54BB" w:rsidRDefault="005E144D" w:rsidP="005136BD">
      <w:pPr>
        <w:spacing w:after="400" w:line="240" w:lineRule="auto"/>
        <w:jc w:val="center"/>
        <w:rPr>
          <w:rFonts w:ascii="Dubai" w:hAnsi="Dubai" w:cs="Dubai"/>
        </w:rPr>
      </w:pPr>
      <w:r w:rsidRPr="005136BD">
        <w:rPr>
          <w:rFonts w:ascii="Dubai" w:hAnsi="Dubai" w:cs="Dubai"/>
          <w:noProof/>
        </w:rPr>
        <mc:AlternateContent>
          <mc:Choice Requires="wps">
            <w:drawing>
              <wp:inline distT="0" distB="0" distL="0" distR="0" wp14:anchorId="0B5FA6F7" wp14:editId="68BB50D6">
                <wp:extent cx="5848350" cy="432000"/>
                <wp:effectExtent l="0" t="0" r="19050" b="25400"/>
                <wp:docPr id="1155908873" name="Rectangle: Rounded Corners 3"/>
                <wp:cNvGraphicFramePr/>
                <a:graphic xmlns:a="http://schemas.openxmlformats.org/drawingml/2006/main">
                  <a:graphicData uri="http://schemas.microsoft.com/office/word/2010/wordprocessingShape">
                    <wps:wsp>
                      <wps:cNvSpPr/>
                      <wps:spPr>
                        <a:xfrm>
                          <a:off x="0" y="0"/>
                          <a:ext cx="5848350" cy="432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CFD3F6" w14:textId="77777777" w:rsidR="002C54BB" w:rsidRPr="005136BD" w:rsidRDefault="005E144D" w:rsidP="002C54BB">
                            <w:pPr>
                              <w:bidi/>
                              <w:jc w:val="center"/>
                              <w:rPr>
                                <w:rFonts w:ascii="Dubai" w:hAnsi="Dubai" w:cs="Dubai"/>
                                <w:b/>
                                <w:bCs/>
                                <w:sz w:val="28"/>
                                <w:szCs w:val="28"/>
                              </w:rPr>
                            </w:pPr>
                            <w:r w:rsidRPr="005136BD">
                              <w:rPr>
                                <w:rFonts w:ascii="Dubai" w:hAnsi="Dubai" w:cs="Dubai"/>
                                <w:b/>
                                <w:bCs/>
                                <w:sz w:val="28"/>
                                <w:szCs w:val="28"/>
                                <w:rtl/>
                                <w:lang w:val="ar"/>
                              </w:rPr>
                              <w:t>اتفاقية الأمم المتحدة لحقوق الأشخاص ذوي الإعاقة</w:t>
                            </w:r>
                          </w:p>
                          <w:p w14:paraId="330335F9" w14:textId="77777777" w:rsidR="002C54BB" w:rsidRPr="005136BD" w:rsidRDefault="002C54BB" w:rsidP="002C54BB">
                            <w:pPr>
                              <w:jc w:val="center"/>
                              <w:rPr>
                                <w:rFonts w:ascii="Dubai" w:hAnsi="Dubai" w:cs="Dubai"/>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0B5FA6F7" id="Rectangle: Rounded Corners 3" o:spid="_x0000_s1026" style="width:460.5pt;height:3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" fillcolor="#156082 [3204]" strokecolor="#030e13 [484]" strokeweight="1pt">
                <v:stroke joinstyle="miter"/>
                <v:textbox>
                  <w:txbxContent>
                    <w:p w14:paraId="0FCFD3F6" w14:textId="77777777" w:rsidR="002C54BB" w:rsidRPr="005136BD" w:rsidRDefault="005E144D" w:rsidP="002C54BB">
                      <w:pPr>
                        <w:bidi/>
                        <w:jc w:val="center"/>
                        <w:rPr>
                          <w:rFonts w:ascii="Dubai" w:hAnsi="Dubai" w:cs="Dubai"/>
                          <w:b/>
                          <w:bCs/>
                          <w:sz w:val="28"/>
                          <w:szCs w:val="28"/>
                        </w:rPr>
                      </w:pPr>
                      <w:r w:rsidRPr="005136BD">
                        <w:rPr>
                          <w:rFonts w:ascii="Dubai" w:hAnsi="Dubai" w:cs="Dubai"/>
                          <w:b/>
                          <w:bCs/>
                          <w:sz w:val="28"/>
                          <w:szCs w:val="28"/>
                          <w:rtl/>
                          <w:lang w:val="ar"/>
                        </w:rPr>
                        <w:t>اتفاقية الأمم المتحدة لحقوق الأشخاص ذوي الإعاقة</w:t>
                      </w:r>
                    </w:p>
                    <w:p w14:paraId="330335F9" w14:textId="77777777" w:rsidR="002C54BB" w:rsidRPr="005136BD" w:rsidRDefault="002C54BB" w:rsidP="002C54BB">
                      <w:pPr>
                        <w:jc w:val="center"/>
                        <w:rPr>
                          <w:rFonts w:ascii="Dubai" w:hAnsi="Dubai" w:cs="Dubai"/>
                        </w:rPr>
                      </w:pPr>
                    </w:p>
                  </w:txbxContent>
                </v:textbox>
                <w10:anchorlock/>
              </v:roundrect>
            </w:pict>
          </mc:Fallback>
        </mc:AlternateContent>
      </w:r>
      <w:r w:rsidRPr="005136BD">
        <w:rPr>
          <w:rFonts w:ascii="Dubai" w:hAnsi="Dubai" w:cs="Dubai"/>
          <w:noProof/>
        </w:rPr>
        <w:drawing>
          <wp:inline distT="0" distB="0" distL="0" distR="0" wp14:anchorId="44CA1ED8" wp14:editId="5AF5E5BA">
            <wp:extent cx="5895975" cy="2026920"/>
            <wp:effectExtent l="38100" t="0" r="9525" b="0"/>
            <wp:docPr id="623916845" name="Diagram 1" descr="اتفاقية الأمم المتحدة لحقوق الأشخاص ذوي الإعاقة"/>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E61932D" w14:textId="52811F1F" w:rsidR="00D201DA" w:rsidRPr="005136BD" w:rsidRDefault="00D201DA" w:rsidP="005136BD">
      <w:pPr>
        <w:spacing w:after="400" w:line="240" w:lineRule="auto"/>
        <w:jc w:val="center"/>
        <w:rPr>
          <w:rFonts w:ascii="Dubai" w:hAnsi="Dubai" w:cs="Dubai"/>
        </w:rPr>
      </w:pPr>
      <w:r w:rsidRPr="005136BD">
        <w:rPr>
          <w:rFonts w:ascii="Dubai" w:hAnsi="Dubai" w:cs="Dubai"/>
          <w:noProof/>
        </w:rPr>
        <mc:AlternateContent>
          <mc:Choice Requires="wps">
            <w:drawing>
              <wp:inline distT="0" distB="0" distL="0" distR="0" wp14:anchorId="3E93D67B" wp14:editId="48980DF1">
                <wp:extent cx="5848350" cy="431800"/>
                <wp:effectExtent l="0" t="0" r="19050" b="25400"/>
                <wp:docPr id="462198693" name="Rectangle: Rounded Corners 3"/>
                <wp:cNvGraphicFramePr/>
                <a:graphic xmlns:a="http://schemas.openxmlformats.org/drawingml/2006/main">
                  <a:graphicData uri="http://schemas.microsoft.com/office/word/2010/wordprocessingShape">
                    <wps:wsp>
                      <wps:cNvSpPr/>
                      <wps:spPr>
                        <a:xfrm>
                          <a:off x="0" y="0"/>
                          <a:ext cx="5848350" cy="431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D627FF" w14:textId="77777777" w:rsidR="00D201DA" w:rsidRPr="005136BD" w:rsidRDefault="00D201DA" w:rsidP="00D201DA">
                            <w:pPr>
                              <w:bidi/>
                              <w:ind w:left="51"/>
                              <w:jc w:val="center"/>
                              <w:rPr>
                                <w:rFonts w:ascii="Dubai" w:hAnsi="Dubai" w:cs="Dubai"/>
                                <w:b/>
                                <w:bCs/>
                                <w:sz w:val="28"/>
                                <w:szCs w:val="28"/>
                              </w:rPr>
                            </w:pPr>
                            <w:r w:rsidRPr="005136BD">
                              <w:rPr>
                                <w:rFonts w:ascii="Dubai" w:hAnsi="Dubai" w:cs="Dubai"/>
                                <w:b/>
                                <w:bCs/>
                                <w:sz w:val="28"/>
                                <w:szCs w:val="28"/>
                                <w:rtl/>
                                <w:lang w:val="ar"/>
                              </w:rPr>
                              <w:t>الحد من مخاطر الكوارث الشامل للإعاقة (DIDRR)</w:t>
                            </w:r>
                          </w:p>
                          <w:p w14:paraId="03C90994" w14:textId="77777777" w:rsidR="00D201DA" w:rsidRPr="005136BD" w:rsidRDefault="00D201DA" w:rsidP="00D201DA">
                            <w:pPr>
                              <w:ind w:left="51"/>
                              <w:jc w:val="center"/>
                              <w:rPr>
                                <w:rFonts w:ascii="Dubai" w:hAnsi="Dubai" w:cs="Dubai"/>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oundrect w14:anchorId="3E93D67B" id="_x0000_s1027" style="width:460.5pt;height:3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" fillcolor="#156082 [3204]" strokecolor="#030e13 [484]" strokeweight="1pt">
                <v:stroke joinstyle="miter"/>
                <v:textbox>
                  <w:txbxContent>
                    <w:p w14:paraId="05D627FF" w14:textId="77777777" w:rsidR="00D201DA" w:rsidRPr="005136BD" w:rsidRDefault="00D201DA" w:rsidP="00D201DA">
                      <w:pPr>
                        <w:bidi/>
                        <w:ind w:left="51"/>
                        <w:jc w:val="center"/>
                        <w:rPr>
                          <w:rFonts w:ascii="Dubai" w:hAnsi="Dubai" w:cs="Dubai"/>
                          <w:b/>
                          <w:bCs/>
                          <w:sz w:val="28"/>
                          <w:szCs w:val="28"/>
                        </w:rPr>
                      </w:pPr>
                      <w:r w:rsidRPr="005136BD">
                        <w:rPr>
                          <w:rFonts w:ascii="Dubai" w:hAnsi="Dubai" w:cs="Dubai"/>
                          <w:b/>
                          <w:bCs/>
                          <w:sz w:val="28"/>
                          <w:szCs w:val="28"/>
                          <w:rtl/>
                          <w:lang w:val="ar"/>
                        </w:rPr>
                        <w:t>الحد من مخاطر الكوارث الشامل للإعاقة (DIDRR)</w:t>
                      </w:r>
                    </w:p>
                    <w:p w14:paraId="03C90994" w14:textId="77777777" w:rsidR="00D201DA" w:rsidRPr="005136BD" w:rsidRDefault="00D201DA" w:rsidP="00D201DA">
                      <w:pPr>
                        <w:ind w:left="51"/>
                        <w:jc w:val="center"/>
                        <w:rPr>
                          <w:rFonts w:ascii="Dubai" w:hAnsi="Dubai" w:cs="Dubai"/>
                        </w:rPr>
                      </w:pPr>
                    </w:p>
                  </w:txbxContent>
                </v:textbox>
                <w10:anchorlock/>
              </v:roundrect>
            </w:pict>
          </mc:Fallback>
        </mc:AlternateContent>
      </w:r>
    </w:p>
    <w:p w14:paraId="7995CDBE" w14:textId="77777777" w:rsidR="00246298" w:rsidRPr="005136BD" w:rsidRDefault="005E144D" w:rsidP="005136BD">
      <w:pPr>
        <w:bidi/>
        <w:spacing w:after="120" w:line="240" w:lineRule="auto"/>
        <w:rPr>
          <w:rFonts w:ascii="Dubai" w:hAnsi="Dubai" w:cs="Dubai"/>
          <w:lang w:val="en-AU"/>
        </w:rPr>
      </w:pPr>
      <w:r w:rsidRPr="005136BD">
        <w:rPr>
          <w:rFonts w:ascii="Dubai" w:hAnsi="Dubai" w:cs="Dubai"/>
          <w:rtl/>
          <w:lang w:val="ar"/>
        </w:rPr>
        <w:t xml:space="preserve">تنص </w:t>
      </w:r>
      <w:r w:rsidRPr="005136BD">
        <w:rPr>
          <w:rFonts w:ascii="Dubai" w:hAnsi="Dubai" w:cs="Dubai"/>
          <w:b/>
          <w:bCs/>
          <w:rtl/>
          <w:lang w:val="ar"/>
        </w:rPr>
        <w:t>اتفاقية الأمم المتحدة لحقوق الأشخاص ذوي الإعاقة</w:t>
      </w:r>
      <w:r w:rsidRPr="005136BD">
        <w:rPr>
          <w:rFonts w:ascii="Dubai" w:hAnsi="Dubai" w:cs="Dubai"/>
          <w:rtl/>
          <w:lang w:val="ar"/>
        </w:rPr>
        <w:t xml:space="preserve"> على أن تتخذ الأطراف جميع التدابير اللازمة لضمان حماية وسلامة الأشخاص ذوي الإعاقة في حالات الخطر، بما في ذلك حالات النزاع المسلح وحالات الطوارئ الإنسانية والكوارث الطبيعية (المادة 11).</w:t>
      </w:r>
    </w:p>
    <w:p w14:paraId="0302D8C1" w14:textId="4E26FA58" w:rsidR="00FF7E29" w:rsidRPr="005136BD" w:rsidRDefault="004C37B2" w:rsidP="005136BD">
      <w:pPr>
        <w:bidi/>
        <w:spacing w:after="120" w:line="240" w:lineRule="auto"/>
        <w:rPr>
          <w:rFonts w:ascii="Dubai" w:hAnsi="Dubai" w:cs="Dubai"/>
        </w:rPr>
      </w:pPr>
      <w:r w:rsidRPr="005136BD">
        <w:rPr>
          <w:rFonts w:ascii="Dubai" w:hAnsi="Dubai" w:cs="Dubai"/>
          <w:b/>
          <w:bCs/>
          <w:rtl/>
          <w:lang w:val="ar"/>
        </w:rPr>
        <w:t>إطار سينداي للحد من مخاطر الكوارث 2030</w:t>
      </w:r>
      <w:r w:rsidR="005136BD">
        <w:rPr>
          <w:rFonts w:ascii="Dubai" w:hAnsi="Dubai" w:cs="Dubai" w:hint="cs"/>
          <w:b/>
          <w:bCs/>
          <w:lang w:val="ar"/>
        </w:rPr>
        <w:t>2015-</w:t>
      </w:r>
      <w:r w:rsidRPr="005136BD">
        <w:rPr>
          <w:rFonts w:ascii="Dubai" w:hAnsi="Dubai" w:cs="Dubai"/>
          <w:rtl/>
          <w:lang w:val="ar"/>
        </w:rPr>
        <w:t xml:space="preserve"> هو اتفاقية دولية للعمل لمنع مخاطر الكوارث الجديدة والحد من مخاطر الكوارث الحالية. </w:t>
      </w:r>
    </w:p>
    <w:p w14:paraId="1F4218CA" w14:textId="77777777" w:rsidR="00FF7E29" w:rsidRPr="005136BD" w:rsidRDefault="005E144D" w:rsidP="005136BD">
      <w:pPr>
        <w:bidi/>
        <w:spacing w:after="120" w:line="240" w:lineRule="auto"/>
        <w:rPr>
          <w:rFonts w:ascii="Dubai" w:hAnsi="Dubai" w:cs="Dubai"/>
        </w:rPr>
      </w:pPr>
      <w:r w:rsidRPr="005136BD">
        <w:rPr>
          <w:rFonts w:ascii="Dubai" w:hAnsi="Dubai" w:cs="Dubai"/>
          <w:rtl/>
          <w:lang w:val="ar"/>
        </w:rPr>
        <w:lastRenderedPageBreak/>
        <w:t xml:space="preserve">يعتبر </w:t>
      </w:r>
      <w:r w:rsidRPr="005136BD">
        <w:rPr>
          <w:rFonts w:ascii="Dubai" w:hAnsi="Dubai" w:cs="Dubai"/>
          <w:b/>
          <w:bCs/>
          <w:rtl/>
          <w:lang w:val="ar"/>
        </w:rPr>
        <w:t>الإطار الوطني للحد من مخاطر الكوارث</w:t>
      </w:r>
      <w:r w:rsidRPr="005136BD">
        <w:rPr>
          <w:rFonts w:ascii="Dubai" w:hAnsi="Dubai" w:cs="Dubai"/>
          <w:rtl/>
          <w:lang w:val="ar"/>
        </w:rPr>
        <w:t xml:space="preserve"> بمثابة تنفيذ أستراليا لإطار سينداي. </w:t>
      </w:r>
      <w:hyperlink r:id="rId12" w:tgtFrame="_blank" w:history="1">
        <w:r w:rsidRPr="005136BD">
          <w:rPr>
            <w:rStyle w:val="Hyperlink"/>
            <w:rFonts w:ascii="Dubai" w:hAnsi="Dubai" w:cs="Dubai"/>
            <w:color w:val="auto"/>
            <w:u w:val="none"/>
            <w:rtl/>
            <w:lang w:val="ar"/>
          </w:rPr>
          <w:t>يوفر الإطار استراتيجيات أساسية للعمل، مع التركيز على فهم مخاطر الكوارث، واتخاذ القرارات المسؤولة، والاستثمار المعزز، والحوكمة الفعالة</w:t>
        </w:r>
      </w:hyperlink>
      <w:r w:rsidRPr="005136BD">
        <w:rPr>
          <w:rFonts w:ascii="Dubai" w:hAnsi="Dubai" w:cs="Dubai"/>
          <w:rtl/>
          <w:lang w:val="ar"/>
        </w:rPr>
        <w:t xml:space="preserve">. </w:t>
      </w:r>
    </w:p>
    <w:p w14:paraId="45BDCB76" w14:textId="77777777" w:rsidR="00B5618B" w:rsidRPr="005136BD" w:rsidRDefault="005E144D" w:rsidP="005136BD">
      <w:pPr>
        <w:bidi/>
        <w:spacing w:after="120" w:line="240" w:lineRule="auto"/>
        <w:rPr>
          <w:rFonts w:ascii="Dubai" w:hAnsi="Dubai" w:cs="Dubai"/>
        </w:rPr>
      </w:pPr>
      <w:r w:rsidRPr="005136BD">
        <w:rPr>
          <w:rFonts w:ascii="Dubai" w:hAnsi="Dubai" w:cs="Dubai"/>
          <w:rtl/>
          <w:lang w:val="ar"/>
        </w:rPr>
        <w:t xml:space="preserve">يوفر </w:t>
      </w:r>
      <w:r w:rsidRPr="005136BD">
        <w:rPr>
          <w:rFonts w:ascii="Dubai" w:hAnsi="Dubai" w:cs="Dubai"/>
          <w:b/>
          <w:bCs/>
          <w:rtl/>
          <w:lang w:val="ar"/>
        </w:rPr>
        <w:t>الحد من مخاطر الكوارث الشامل للإعاقة</w:t>
      </w:r>
      <w:r w:rsidRPr="005136BD">
        <w:rPr>
          <w:rFonts w:ascii="Dubai" w:hAnsi="Dubai" w:cs="Dubai"/>
          <w:rtl/>
          <w:lang w:val="ar"/>
        </w:rPr>
        <w:t xml:space="preserve"> استراتيجيات وممارسات للحد من حدوث المخاطر، وتقليل تعرض وضعف الأشخاص وأصولهم، وتعزيز قدرة الناس على التعامل مع تأثيرها. </w:t>
      </w:r>
    </w:p>
    <w:p w14:paraId="1D3342B0" w14:textId="77777777" w:rsidR="0062521A" w:rsidRPr="005136BD" w:rsidRDefault="00220AC9" w:rsidP="005136BD">
      <w:pPr>
        <w:bidi/>
        <w:spacing w:after="120" w:line="240" w:lineRule="auto"/>
        <w:rPr>
          <w:rFonts w:ascii="Dubai" w:hAnsi="Dubai" w:cs="Dubai"/>
        </w:rPr>
      </w:pPr>
      <w:r w:rsidRPr="005136BD">
        <w:rPr>
          <w:rFonts w:ascii="Dubai" w:hAnsi="Dubai" w:cs="Dubai"/>
          <w:rtl/>
          <w:lang w:val="ar"/>
        </w:rPr>
        <w:t xml:space="preserve">يوفر </w:t>
      </w:r>
      <w:r w:rsidR="005E144D" w:rsidRPr="005136BD">
        <w:rPr>
          <w:rFonts w:ascii="Dubai" w:hAnsi="Dubai" w:cs="Dubai"/>
          <w:b/>
          <w:bCs/>
          <w:rtl/>
          <w:lang w:val="ar"/>
        </w:rPr>
        <w:t>معيار ممارسة NDIS لإدارة الطوارئ والكوارث</w:t>
      </w:r>
      <w:r w:rsidRPr="005136BD">
        <w:rPr>
          <w:rFonts w:ascii="Dubai" w:hAnsi="Dubai" w:cs="Dubai"/>
          <w:rtl/>
          <w:lang w:val="ar"/>
        </w:rPr>
        <w:t xml:space="preserve"> إرشادات وأفضل الممارسات لمقدمي خدمات الإعاقة لضمان السلامة والإدماج والدعم الفعال للأشخاص ذوي الإعاقة في جميع جوانب إدارة الطوارئ والكوارث.</w:t>
      </w:r>
    </w:p>
    <w:p w14:paraId="4BA5C450" w14:textId="42C00195" w:rsidR="00F926BF" w:rsidRPr="005136BD" w:rsidRDefault="005E144D" w:rsidP="00D201DA">
      <w:pPr>
        <w:bidi/>
        <w:spacing w:after="240" w:line="240" w:lineRule="auto"/>
        <w:rPr>
          <w:rFonts w:asciiTheme="majorHAnsi" w:hAnsiTheme="majorHAnsi" w:cs="Dubai"/>
        </w:rPr>
      </w:pPr>
      <w:r w:rsidRPr="005136BD">
        <w:rPr>
          <w:rFonts w:ascii="Dubai" w:hAnsi="Dubai" w:cs="Dubai"/>
          <w:rtl/>
          <w:lang w:val="ar"/>
        </w:rPr>
        <w:t>بالإضافة إلى ذلك، يجب على مزودي NDIS الوفاء بالالتزامات القانونية للعمال والتأكد من وجود خطة طوارئ معدة لمكان العمل [</w:t>
      </w:r>
      <w:r w:rsidR="00455097" w:rsidRPr="005136BD">
        <w:rPr>
          <w:rFonts w:ascii="Dubai" w:hAnsi="Dubai" w:cs="Dubai"/>
          <w:i/>
          <w:iCs/>
          <w:rtl/>
          <w:lang w:val="ar"/>
        </w:rPr>
        <w:t>اللائحة 43، لائحة</w:t>
      </w:r>
      <w:r w:rsidRPr="005136BD">
        <w:rPr>
          <w:rFonts w:ascii="Dubai" w:hAnsi="Dubai" w:cs="Dubai"/>
          <w:rtl/>
          <w:lang w:val="ar"/>
        </w:rPr>
        <w:t xml:space="preserve"> </w:t>
      </w:r>
      <w:r w:rsidR="00762D9B" w:rsidRPr="005136BD">
        <w:rPr>
          <w:rFonts w:ascii="Dubai" w:hAnsi="Dubai" w:cs="Dubai"/>
          <w:i/>
          <w:iCs/>
          <w:rtl/>
          <w:lang w:val="ar"/>
        </w:rPr>
        <w:t>صحة وسلامة العمل (WHS) (2017)</w:t>
      </w:r>
      <w:r w:rsidRPr="005136BD">
        <w:rPr>
          <w:rFonts w:ascii="Dubai" w:hAnsi="Dubai" w:cs="Dubai"/>
          <w:rtl/>
          <w:lang w:val="ar"/>
        </w:rPr>
        <w:t>].</w:t>
      </w:r>
    </w:p>
    <w:p w14:paraId="31690C8D" w14:textId="77777777" w:rsidR="00DB2622" w:rsidRPr="00D201DA" w:rsidRDefault="005E144D" w:rsidP="005136BD">
      <w:pPr>
        <w:pStyle w:val="Heading2"/>
        <w:bidi/>
        <w:spacing w:line="240" w:lineRule="auto"/>
        <w:rPr>
          <w:rFonts w:ascii="Dubai" w:hAnsi="Dubai" w:cs="Dubai"/>
          <w:color w:val="538135"/>
        </w:rPr>
      </w:pPr>
      <w:r w:rsidRPr="00D201DA">
        <w:rPr>
          <w:rFonts w:ascii="Dubai" w:hAnsi="Dubai" w:cs="Dubai"/>
          <w:color w:val="538135"/>
          <w:rtl/>
          <w:lang w:val="ar"/>
        </w:rPr>
        <w:t>تطبيق DIDRR ومعيار الممارسة</w:t>
      </w:r>
    </w:p>
    <w:p w14:paraId="26134EBF" w14:textId="77777777" w:rsidR="00115F42" w:rsidRPr="005136BD" w:rsidRDefault="005E144D" w:rsidP="005136BD">
      <w:pPr>
        <w:bidi/>
        <w:spacing w:after="120" w:line="240" w:lineRule="auto"/>
        <w:rPr>
          <w:rFonts w:ascii="Dubai" w:hAnsi="Dubai" w:cs="Dubai"/>
        </w:rPr>
      </w:pPr>
      <w:r w:rsidRPr="005136BD">
        <w:rPr>
          <w:rFonts w:ascii="Dubai" w:hAnsi="Dubai" w:cs="Dubai"/>
          <w:rtl/>
          <w:lang w:val="ar"/>
        </w:rPr>
        <w:t>المكونات الرئيسية لـ DIDRR هي:</w:t>
      </w:r>
    </w:p>
    <w:p w14:paraId="4DC0C0D7" w14:textId="77777777" w:rsidR="00115F42" w:rsidRPr="005136BD" w:rsidRDefault="005E144D" w:rsidP="005136BD">
      <w:pPr>
        <w:pStyle w:val="ListParagraph"/>
        <w:numPr>
          <w:ilvl w:val="0"/>
          <w:numId w:val="4"/>
        </w:numPr>
        <w:bidi/>
        <w:spacing w:after="120" w:line="240" w:lineRule="auto"/>
        <w:contextualSpacing w:val="0"/>
        <w:rPr>
          <w:rFonts w:ascii="Dubai" w:hAnsi="Dubai" w:cs="Dubai"/>
        </w:rPr>
      </w:pPr>
      <w:r w:rsidRPr="005136BD">
        <w:rPr>
          <w:rFonts w:ascii="Dubai" w:hAnsi="Dubai" w:cs="Dubai"/>
          <w:rtl/>
          <w:lang w:val="ar"/>
        </w:rPr>
        <w:t>تقييم المخاطر والتأهب: تحديد وفهم نقاط الضعف والاحتياجات المحددة للأشخاص ذوي الإعاقة ودمجها في خطط واستراتيجيات التأهب للكوارث.</w:t>
      </w:r>
    </w:p>
    <w:p w14:paraId="76B2CE92" w14:textId="465D446F" w:rsidR="00115F42" w:rsidRPr="005E144D" w:rsidRDefault="005E144D" w:rsidP="005136BD">
      <w:pPr>
        <w:pStyle w:val="ListParagraph"/>
        <w:numPr>
          <w:ilvl w:val="0"/>
          <w:numId w:val="4"/>
        </w:numPr>
        <w:bidi/>
        <w:spacing w:after="120" w:line="240" w:lineRule="auto"/>
        <w:contextualSpacing w:val="0"/>
        <w:rPr>
          <w:rFonts w:ascii="Dubai" w:hAnsi="Dubai" w:cs="Dubai"/>
          <w:spacing w:val="-2"/>
        </w:rPr>
      </w:pPr>
      <w:r w:rsidRPr="005E144D">
        <w:rPr>
          <w:rFonts w:ascii="Dubai" w:hAnsi="Dubai" w:cs="Dubai"/>
          <w:spacing w:val="-2"/>
          <w:rtl/>
          <w:lang w:val="ar"/>
        </w:rPr>
        <w:t>الاستجابة والتعافي: ضمان أن تكون الاستجابات للطوارئ شاملة وتعالج احتياجات الأشخاص ذوي الإعاقة، بما في ذلك إجراءات الإخلاء التي يمكن الوصول إليها، وتوفير الأجهزة المساعدة، والدعم النفسي الاجتماعي أثناء التعافي.</w:t>
      </w:r>
    </w:p>
    <w:p w14:paraId="44ABA868" w14:textId="77777777" w:rsidR="00115F42" w:rsidRPr="005136BD" w:rsidRDefault="005E144D" w:rsidP="005136BD">
      <w:pPr>
        <w:bidi/>
        <w:spacing w:after="120" w:line="240" w:lineRule="auto"/>
        <w:rPr>
          <w:rFonts w:ascii="Dubai" w:hAnsi="Dubai" w:cs="Dubai"/>
        </w:rPr>
      </w:pPr>
      <w:r w:rsidRPr="005136BD">
        <w:rPr>
          <w:rFonts w:ascii="Dubai" w:hAnsi="Dubai" w:cs="Dubai"/>
          <w:rtl/>
          <w:lang w:val="ar"/>
        </w:rPr>
        <w:t>ينعكس ذلك في المبادئ الرئيسية لمعيار NDIS لممارسات إدارة الطوارئ والكوارث.</w:t>
      </w:r>
    </w:p>
    <w:p w14:paraId="086870E1" w14:textId="1AB86EC1" w:rsidR="00115F42" w:rsidRPr="005136BD" w:rsidRDefault="005E144D" w:rsidP="005136BD">
      <w:pPr>
        <w:pStyle w:val="ListParagraph"/>
        <w:numPr>
          <w:ilvl w:val="0"/>
          <w:numId w:val="6"/>
        </w:numPr>
        <w:bidi/>
        <w:spacing w:after="120" w:line="240" w:lineRule="auto"/>
        <w:contextualSpacing w:val="0"/>
        <w:rPr>
          <w:rFonts w:ascii="Dubai" w:hAnsi="Dubai" w:cs="Dubai"/>
        </w:rPr>
      </w:pPr>
      <w:r w:rsidRPr="005136BD">
        <w:rPr>
          <w:rFonts w:ascii="Dubai" w:hAnsi="Dubai" w:cs="Dubai"/>
          <w:rtl/>
          <w:lang w:val="ar"/>
        </w:rPr>
        <w:t xml:space="preserve">التخطيط الشامل والتأهب: دمج النهُج الشاملة للإعاقة في التخطيط للطوارئ وتقييم المخاطر وأنشطة </w:t>
      </w:r>
      <w:r w:rsidR="00046053">
        <w:rPr>
          <w:rFonts w:ascii="Dubai" w:hAnsi="Dubai" w:cs="Dubai"/>
          <w:lang w:val="ar"/>
        </w:rPr>
        <w:br/>
      </w:r>
      <w:r w:rsidRPr="005136BD">
        <w:rPr>
          <w:rFonts w:ascii="Dubai" w:hAnsi="Dubai" w:cs="Dubai"/>
          <w:rtl/>
          <w:lang w:val="ar"/>
        </w:rPr>
        <w:t>التأهب لضمان المشاركة الكاملة وسلامة الأشخاص ذوي الإعاقة.</w:t>
      </w:r>
    </w:p>
    <w:p w14:paraId="29BF2C13" w14:textId="77777777" w:rsidR="00115F42" w:rsidRPr="005136BD" w:rsidRDefault="005E144D" w:rsidP="005136BD">
      <w:pPr>
        <w:pStyle w:val="ListParagraph"/>
        <w:numPr>
          <w:ilvl w:val="0"/>
          <w:numId w:val="6"/>
        </w:numPr>
        <w:bidi/>
        <w:spacing w:after="120" w:line="240" w:lineRule="auto"/>
        <w:contextualSpacing w:val="0"/>
        <w:rPr>
          <w:rFonts w:ascii="Dubai" w:hAnsi="Dubai" w:cs="Dubai"/>
        </w:rPr>
      </w:pPr>
      <w:r w:rsidRPr="005136BD">
        <w:rPr>
          <w:rFonts w:ascii="Dubai" w:hAnsi="Dubai" w:cs="Dubai"/>
          <w:rtl/>
          <w:lang w:val="ar"/>
        </w:rPr>
        <w:t>الاتصالات والمعلومات التي يمكن الوصول إليها: توفير معلومات وتحذيرات وتعليمات يسهل الوصول إليها وفي الوقت المناسب للأشخاص ذوي الإعاقة بصيغ ولغات يمكنهم فهمها والوصول إليها.</w:t>
      </w:r>
    </w:p>
    <w:p w14:paraId="260AA18E" w14:textId="62A67C12" w:rsidR="00115F42" w:rsidRPr="005136BD" w:rsidRDefault="005E144D" w:rsidP="005136BD">
      <w:pPr>
        <w:pStyle w:val="ListParagraph"/>
        <w:numPr>
          <w:ilvl w:val="0"/>
          <w:numId w:val="6"/>
        </w:numPr>
        <w:bidi/>
        <w:spacing w:after="120" w:line="240" w:lineRule="auto"/>
        <w:contextualSpacing w:val="0"/>
        <w:rPr>
          <w:rFonts w:ascii="Dubai" w:hAnsi="Dubai" w:cs="Dubai"/>
        </w:rPr>
      </w:pPr>
      <w:r w:rsidRPr="005136BD">
        <w:rPr>
          <w:rFonts w:ascii="Dubai" w:hAnsi="Dubai" w:cs="Dubai"/>
          <w:rtl/>
          <w:lang w:val="ar"/>
        </w:rPr>
        <w:t xml:space="preserve">التعاون والتنسيق: التعاون مع منظمات الإعاقة ووكالات إدارة الطوارئ وأصحاب المصلحة الآخرين لضمان </w:t>
      </w:r>
      <w:r w:rsidR="00066470">
        <w:rPr>
          <w:rFonts w:ascii="Dubai" w:hAnsi="Dubai" w:cs="Dubai"/>
          <w:lang w:val="ar"/>
        </w:rPr>
        <w:br/>
      </w:r>
      <w:r w:rsidRPr="005136BD">
        <w:rPr>
          <w:rFonts w:ascii="Dubai" w:hAnsi="Dubai" w:cs="Dubai"/>
          <w:rtl/>
          <w:lang w:val="ar"/>
        </w:rPr>
        <w:t>تنسيق وتكامل الممارسات الشاملة للإعاقة في الاستجابة للطوارئ وجهود التعافي.</w:t>
      </w:r>
    </w:p>
    <w:p w14:paraId="00E49776" w14:textId="5BB6B189" w:rsidR="00115F42" w:rsidRPr="005136BD" w:rsidRDefault="005E144D" w:rsidP="005136BD">
      <w:pPr>
        <w:pStyle w:val="ListParagraph"/>
        <w:numPr>
          <w:ilvl w:val="0"/>
          <w:numId w:val="6"/>
        </w:numPr>
        <w:bidi/>
        <w:spacing w:after="120" w:line="240" w:lineRule="auto"/>
        <w:contextualSpacing w:val="0"/>
        <w:rPr>
          <w:rFonts w:ascii="Dubai" w:hAnsi="Dubai" w:cs="Dubai"/>
        </w:rPr>
      </w:pPr>
      <w:r w:rsidRPr="005136BD">
        <w:rPr>
          <w:rFonts w:ascii="Dubai" w:hAnsi="Dubai" w:cs="Dubai"/>
          <w:rtl/>
          <w:lang w:val="ar"/>
        </w:rPr>
        <w:t xml:space="preserve">النهج القائم على الحقوق: دعم حقوق وكرامة الأشخاص ذوي الإعاقة في جميع مراحل إدارة الطوارئ، بما في </w:t>
      </w:r>
      <w:r w:rsidR="00735086">
        <w:rPr>
          <w:rFonts w:ascii="Dubai" w:hAnsi="Dubai" w:cs="Dubai"/>
          <w:lang w:val="ar"/>
        </w:rPr>
        <w:br/>
      </w:r>
      <w:r w:rsidRPr="005136BD">
        <w:rPr>
          <w:rFonts w:ascii="Dubai" w:hAnsi="Dubai" w:cs="Dubai"/>
          <w:rtl/>
          <w:lang w:val="ar"/>
        </w:rPr>
        <w:t>ذلك احترام الاستقلالية والاختيار وعدم التمييز.</w:t>
      </w:r>
    </w:p>
    <w:p w14:paraId="5C93394C" w14:textId="77777777" w:rsidR="00DB2622" w:rsidRPr="005136BD" w:rsidRDefault="005E144D" w:rsidP="005136BD">
      <w:pPr>
        <w:bidi/>
        <w:spacing w:after="120" w:line="240" w:lineRule="auto"/>
        <w:rPr>
          <w:rFonts w:ascii="Dubai" w:hAnsi="Dubai" w:cs="Dubai"/>
          <w:b/>
          <w:bCs/>
        </w:rPr>
      </w:pPr>
      <w:r w:rsidRPr="005136BD">
        <w:rPr>
          <w:rFonts w:ascii="Dubai" w:hAnsi="Dubai" w:cs="Dubai"/>
          <w:b/>
          <w:bCs/>
          <w:rtl/>
          <w:lang w:val="ar"/>
        </w:rPr>
        <w:t xml:space="preserve">الحد من مخاطر الكوارث الشامل للإعاقة (DIDRR) ضروري لضمان السلامة والمرونة والمشاركة الكاملة للأشخاص ذوي الإعاقة في جميع جوانب إدارة الطوارئ والكوارث. </w:t>
      </w:r>
    </w:p>
    <w:p w14:paraId="1709F1A1" w14:textId="77777777" w:rsidR="00757ADF" w:rsidRDefault="005E144D" w:rsidP="005136BD">
      <w:pPr>
        <w:bidi/>
        <w:spacing w:after="120" w:line="240" w:lineRule="auto"/>
        <w:rPr>
          <w:rFonts w:ascii="Dubai" w:hAnsi="Dubai" w:cs="Dubai"/>
          <w:b/>
          <w:bCs/>
        </w:rPr>
      </w:pPr>
      <w:r w:rsidRPr="005136BD">
        <w:rPr>
          <w:rFonts w:ascii="Dubai" w:hAnsi="Dubai" w:cs="Dubai"/>
          <w:b/>
          <w:bCs/>
          <w:rtl/>
          <w:lang w:val="ar"/>
        </w:rPr>
        <w:t>من خلال تنفيذ المبادئ والممارسات الموضحة في معيار NDIS لممارسات إدارة الطوارئ والكوارث، يمكن لمقدمي خدمات الإعاقة دعم الأشخاص ذوي الإعاقة بشكل فعال قبل حالات الطوارئ وأثناءها وبعدها، وبالتالي تعزيز حقوقهم ورفاههم واندماجهم في المجتمع.</w:t>
      </w:r>
    </w:p>
    <w:p w14:paraId="5D1E45AF" w14:textId="63BB99D7" w:rsidR="00BC2918" w:rsidRPr="00BC2918" w:rsidRDefault="00BC2918" w:rsidP="00BC2918">
      <w:pPr>
        <w:bidi/>
        <w:spacing w:after="120" w:line="240" w:lineRule="auto"/>
        <w:rPr>
          <w:rFonts w:ascii="Dubai" w:hAnsi="Dubai" w:cs="Dubai"/>
        </w:rPr>
      </w:pPr>
      <w:proofErr w:type="spellStart"/>
      <w:r w:rsidRPr="00BC2918">
        <w:rPr>
          <w:rFonts w:ascii="Dubai" w:hAnsi="Dubai" w:cs="Dubai" w:hint="cs"/>
        </w:rPr>
        <w:t>بتمويل</w:t>
      </w:r>
      <w:proofErr w:type="spellEnd"/>
      <w:r w:rsidRPr="00BC2918">
        <w:rPr>
          <w:rFonts w:ascii="Dubai" w:hAnsi="Dubai" w:cs="Dubai"/>
        </w:rPr>
        <w:t xml:space="preserve"> </w:t>
      </w:r>
      <w:proofErr w:type="spellStart"/>
      <w:r w:rsidRPr="00BC2918">
        <w:rPr>
          <w:rFonts w:ascii="Dubai" w:hAnsi="Dubai" w:cs="Dubai" w:hint="cs"/>
        </w:rPr>
        <w:t>من</w:t>
      </w:r>
      <w:proofErr w:type="spellEnd"/>
      <w:r w:rsidRPr="00BC2918">
        <w:rPr>
          <w:rFonts w:ascii="Dubai" w:hAnsi="Dubai" w:cs="Dubai"/>
        </w:rPr>
        <w:t xml:space="preserve"> </w:t>
      </w:r>
      <w:proofErr w:type="spellStart"/>
      <w:r w:rsidRPr="00BC2918">
        <w:rPr>
          <w:rFonts w:ascii="Dubai" w:hAnsi="Dubai" w:cs="Dubai" w:hint="cs"/>
        </w:rPr>
        <w:t>برنامج</w:t>
      </w:r>
      <w:proofErr w:type="spellEnd"/>
      <w:r w:rsidRPr="00BC2918">
        <w:rPr>
          <w:rFonts w:ascii="Dubai" w:hAnsi="Dubai" w:cs="Dubai"/>
        </w:rPr>
        <w:t xml:space="preserve"> </w:t>
      </w:r>
      <w:proofErr w:type="spellStart"/>
      <w:r w:rsidRPr="00BC2918">
        <w:rPr>
          <w:rFonts w:ascii="Dubai" w:hAnsi="Dubai" w:cs="Dubai" w:hint="cs"/>
        </w:rPr>
        <w:t>المنح</w:t>
      </w:r>
      <w:proofErr w:type="spellEnd"/>
      <w:r w:rsidRPr="00BC2918">
        <w:rPr>
          <w:rFonts w:ascii="Dubai" w:hAnsi="Dubai" w:cs="Dubai"/>
        </w:rPr>
        <w:t xml:space="preserve"> </w:t>
      </w:r>
      <w:proofErr w:type="spellStart"/>
      <w:r w:rsidRPr="00BC2918">
        <w:rPr>
          <w:rFonts w:ascii="Dubai" w:hAnsi="Dubai" w:cs="Dubai" w:hint="cs"/>
        </w:rPr>
        <w:t>التابع</w:t>
      </w:r>
      <w:proofErr w:type="spellEnd"/>
      <w:r w:rsidRPr="00BC2918">
        <w:rPr>
          <w:rFonts w:ascii="Dubai" w:hAnsi="Dubai" w:cs="Dubai"/>
        </w:rPr>
        <w:t xml:space="preserve"> </w:t>
      </w:r>
      <w:proofErr w:type="spellStart"/>
      <w:r w:rsidRPr="00BC2918">
        <w:rPr>
          <w:rFonts w:ascii="Dubai" w:hAnsi="Dubai" w:cs="Dubai" w:hint="cs"/>
        </w:rPr>
        <w:t>للجنة</w:t>
      </w:r>
      <w:proofErr w:type="spellEnd"/>
      <w:r w:rsidRPr="00BC2918">
        <w:rPr>
          <w:rFonts w:ascii="Dubai" w:hAnsi="Dubai" w:cs="Dubai"/>
        </w:rPr>
        <w:t xml:space="preserve"> </w:t>
      </w:r>
      <w:proofErr w:type="spellStart"/>
      <w:r w:rsidRPr="00BC2918">
        <w:rPr>
          <w:rFonts w:ascii="Dubai" w:hAnsi="Dubai" w:cs="Dubai" w:hint="cs"/>
        </w:rPr>
        <w:t>الجودة</w:t>
      </w:r>
      <w:proofErr w:type="spellEnd"/>
      <w:r w:rsidRPr="00BC2918">
        <w:rPr>
          <w:rFonts w:ascii="Dubai" w:hAnsi="Dubai" w:cs="Dubai"/>
        </w:rPr>
        <w:t xml:space="preserve"> </w:t>
      </w:r>
      <w:proofErr w:type="spellStart"/>
      <w:r w:rsidRPr="00BC2918">
        <w:rPr>
          <w:rFonts w:ascii="Dubai" w:hAnsi="Dubai" w:cs="Dubai" w:hint="cs"/>
        </w:rPr>
        <w:t>والضمانات</w:t>
      </w:r>
      <w:proofErr w:type="spellEnd"/>
      <w:r w:rsidRPr="00BC2918">
        <w:rPr>
          <w:rFonts w:ascii="Dubai" w:hAnsi="Dubai" w:cs="Dubai"/>
        </w:rPr>
        <w:t xml:space="preserve"> NDIS</w:t>
      </w:r>
    </w:p>
    <w:sectPr w:rsidR="00BC2918" w:rsidRPr="00BC2918" w:rsidSect="00C34EF7">
      <w:headerReference w:type="default" r:id="rId13"/>
      <w:footerReference w:type="defaul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CAC58" w14:textId="77777777" w:rsidR="005373FD" w:rsidRDefault="005373FD" w:rsidP="00072D4B">
      <w:pPr>
        <w:spacing w:after="0" w:line="240" w:lineRule="auto"/>
      </w:pPr>
      <w:r>
        <w:separator/>
      </w:r>
    </w:p>
  </w:endnote>
  <w:endnote w:type="continuationSeparator" w:id="0">
    <w:p w14:paraId="6D115055" w14:textId="77777777" w:rsidR="005373FD" w:rsidRDefault="005373FD" w:rsidP="0007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B49F" w14:textId="2AB287E9" w:rsidR="00D201DA" w:rsidRDefault="00D201DA">
    <w:pPr>
      <w:pStyle w:val="Footer"/>
    </w:pPr>
    <w:r>
      <w:ptab w:relativeTo="margin" w:alignment="right" w:leader="none"/>
    </w:r>
    <w:r w:rsidRPr="00D201DA">
      <w:rPr>
        <w:rFonts w:ascii="Dubai" w:eastAsia="Calibri" w:hAnsi="Dubai" w:cs="Dubai"/>
        <w:b/>
        <w:bCs/>
        <w:noProof/>
        <w:kern w:val="0"/>
        <w:sz w:val="28"/>
        <w:szCs w:val="28"/>
        <w:lang w:val="en-ID"/>
        <w14:ligatures w14:val="none"/>
      </w:rPr>
      <w:t xml:space="preserve"> </w:t>
    </w:r>
    <w:r w:rsidRPr="00D201DA">
      <w:rPr>
        <w:rFonts w:ascii="Dubai" w:eastAsia="Calibri" w:hAnsi="Dubai" w:cs="Dubai"/>
        <w:b/>
        <w:bCs/>
        <w:noProof/>
        <w:kern w:val="0"/>
        <w:sz w:val="28"/>
        <w:szCs w:val="28"/>
        <w:lang w:val="en-ID"/>
        <w14:ligatures w14:val="none"/>
      </w:rPr>
      <mc:AlternateContent>
        <mc:Choice Requires="wps">
          <w:drawing>
            <wp:inline distT="0" distB="0" distL="0" distR="0" wp14:anchorId="6F090E2D" wp14:editId="28A66160">
              <wp:extent cx="1102237" cy="1723644"/>
              <wp:effectExtent l="0" t="0" r="0" b="44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237" cy="1723644"/>
                      </a:xfrm>
                      <a:prstGeom prst="rect">
                        <a:avLst/>
                      </a:prstGeom>
                      <a:noFill/>
                      <a:ln w="9525">
                        <a:noFill/>
                        <a:miter lim="800000"/>
                        <a:headEnd/>
                        <a:tailEnd/>
                      </a:ln>
                    </wps:spPr>
                    <wps:txbx>
                      <w:txbxContent>
                        <w:p w14:paraId="682A6799" w14:textId="77777777" w:rsidR="00D201DA" w:rsidRPr="00B00E25" w:rsidRDefault="00D201DA" w:rsidP="00D201DA">
                          <w:pPr>
                            <w:spacing w:after="0" w:line="240" w:lineRule="auto"/>
                            <w:rPr>
                              <w:rFonts w:ascii="Dubai" w:eastAsia="Times New Roman" w:hAnsi="Dubai" w:cs="Dubai"/>
                              <w:kern w:val="0"/>
                              <w:lang w:val="en-PH" w:eastAsia="zh-CN"/>
                              <w14:ligatures w14:val="none"/>
                            </w:rPr>
                          </w:pPr>
                          <w:r w:rsidRPr="00B00E25">
                            <w:rPr>
                              <w:rFonts w:ascii="Dubai" w:eastAsia="Times New Roman" w:hAnsi="Dubai" w:cs="Dubai"/>
                              <w:kern w:val="0"/>
                              <w:lang w:val="en-PH" w:eastAsia="zh-CN"/>
                              <w14:ligatures w14:val="none"/>
                            </w:rPr>
                            <w:t xml:space="preserve">Arabic | </w:t>
                          </w:r>
                          <w:r w:rsidRPr="00B00E25">
                            <w:rPr>
                              <w:rFonts w:ascii="Dubai" w:eastAsia="Times New Roman" w:hAnsi="Dubai" w:cs="Dubai"/>
                              <w:kern w:val="0"/>
                              <w:rtl/>
                              <w:lang w:val="en-PH" w:eastAsia="zh-CN"/>
                              <w14:ligatures w14:val="none"/>
                            </w:rPr>
                            <w:t>العربية</w:t>
                          </w:r>
                        </w:p>
                      </w:txbxContent>
                    </wps:txbx>
                    <wps:bodyPr rot="0" vert="horz" wrap="square" anchor="t" anchorCtr="0">
                      <a:spAutoFit/>
                    </wps:bodyPr>
                  </wps:wsp>
                </a:graphicData>
              </a:graphic>
            </wp:inline>
          </w:drawing>
        </mc:Choice>
        <mc:Fallback>
          <w:pict>
            <v:shapetype w14:anchorId="6F090E2D" id="_x0000_t202" coordsize="21600,21600" o:spt="202" path="m,l,21600r21600,l21600,xe">
              <v:stroke joinstyle="miter"/>
              <v:path gradientshapeok="t" o:connecttype="rect"/>
            </v:shapetype>
            <v:shape id="Text Box 2" o:spid="_x0000_s1028" type="#_x0000_t202" style="width:86.8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" filled="f" stroked="f">
              <v:textbox style="mso-fit-shape-to-text:t">
                <w:txbxContent>
                  <w:p w14:paraId="682A6799" w14:textId="77777777" w:rsidR="00D201DA" w:rsidRPr="00B00E25" w:rsidRDefault="00D201DA" w:rsidP="00D201DA">
                    <w:pPr>
                      <w:spacing w:after="0" w:line="240" w:lineRule="auto"/>
                      <w:rPr>
                        <w:rFonts w:ascii="Dubai" w:eastAsia="Times New Roman" w:hAnsi="Dubai" w:cs="Dubai"/>
                        <w:kern w:val="0"/>
                        <w:lang w:val="en-PH" w:eastAsia="zh-CN"/>
                        <w14:ligatures w14:val="none"/>
                      </w:rPr>
                    </w:pPr>
                    <w:r w:rsidRPr="00B00E25">
                      <w:rPr>
                        <w:rFonts w:ascii="Dubai" w:eastAsia="Times New Roman" w:hAnsi="Dubai" w:cs="Dubai"/>
                        <w:kern w:val="0"/>
                        <w:lang w:val="en-PH" w:eastAsia="zh-CN"/>
                        <w14:ligatures w14:val="none"/>
                      </w:rPr>
                      <w:t xml:space="preserve">Arabic | </w:t>
                    </w:r>
                    <w:r w:rsidRPr="00B00E25">
                      <w:rPr>
                        <w:rFonts w:ascii="Dubai" w:eastAsia="Times New Roman" w:hAnsi="Dubai" w:cs="Dubai"/>
                        <w:kern w:val="0"/>
                        <w:rtl/>
                        <w:lang w:val="en-PH" w:eastAsia="zh-CN"/>
                        <w14:ligatures w14:val="none"/>
                      </w:rPr>
                      <w:t>العربية</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98FAF" w14:textId="77777777" w:rsidR="005373FD" w:rsidRDefault="005373FD" w:rsidP="00072D4B">
      <w:pPr>
        <w:spacing w:after="0" w:line="240" w:lineRule="auto"/>
      </w:pPr>
      <w:r>
        <w:separator/>
      </w:r>
    </w:p>
  </w:footnote>
  <w:footnote w:type="continuationSeparator" w:id="0">
    <w:p w14:paraId="65832AE7" w14:textId="77777777" w:rsidR="005373FD" w:rsidRDefault="005373FD" w:rsidP="0007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614B" w14:textId="0449E60C" w:rsidR="00072D4B" w:rsidRDefault="00072D4B">
    <w:pPr>
      <w:pStyle w:val="Header"/>
    </w:pPr>
    <w:r>
      <w:rPr>
        <w:noProof/>
      </w:rPr>
      <w:drawing>
        <wp:anchor distT="0" distB="0" distL="114300" distR="114300" simplePos="0" relativeHeight="251658240" behindDoc="1" locked="1" layoutInCell="1" allowOverlap="1" wp14:anchorId="220B04C5" wp14:editId="5C6476BB">
          <wp:simplePos x="0" y="0"/>
          <wp:positionH relativeFrom="page">
            <wp:posOffset>0</wp:posOffset>
          </wp:positionH>
          <wp:positionV relativeFrom="page">
            <wp:posOffset>0</wp:posOffset>
          </wp:positionV>
          <wp:extent cx="7545600" cy="608400"/>
          <wp:effectExtent l="0" t="0" r="0" b="1270"/>
          <wp:wrapNone/>
          <wp:docPr id="1952689628"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89628"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56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37E31"/>
    <w:multiLevelType w:val="hybridMultilevel"/>
    <w:tmpl w:val="DE448878"/>
    <w:lvl w:ilvl="0" w:tplc="421A385E">
      <w:start w:val="1"/>
      <w:numFmt w:val="decimal"/>
      <w:lvlText w:val="%1."/>
      <w:lvlJc w:val="left"/>
      <w:pPr>
        <w:ind w:left="720" w:hanging="360"/>
      </w:pPr>
    </w:lvl>
    <w:lvl w:ilvl="1" w:tplc="BE3818F2" w:tentative="1">
      <w:start w:val="1"/>
      <w:numFmt w:val="lowerLetter"/>
      <w:lvlText w:val="%2."/>
      <w:lvlJc w:val="left"/>
      <w:pPr>
        <w:ind w:left="1440" w:hanging="360"/>
      </w:pPr>
    </w:lvl>
    <w:lvl w:ilvl="2" w:tplc="70D293F4" w:tentative="1">
      <w:start w:val="1"/>
      <w:numFmt w:val="lowerRoman"/>
      <w:lvlText w:val="%3."/>
      <w:lvlJc w:val="right"/>
      <w:pPr>
        <w:ind w:left="2160" w:hanging="180"/>
      </w:pPr>
    </w:lvl>
    <w:lvl w:ilvl="3" w:tplc="7AF48822" w:tentative="1">
      <w:start w:val="1"/>
      <w:numFmt w:val="decimal"/>
      <w:lvlText w:val="%4."/>
      <w:lvlJc w:val="left"/>
      <w:pPr>
        <w:ind w:left="2880" w:hanging="360"/>
      </w:pPr>
    </w:lvl>
    <w:lvl w:ilvl="4" w:tplc="EDB4D89C" w:tentative="1">
      <w:start w:val="1"/>
      <w:numFmt w:val="lowerLetter"/>
      <w:lvlText w:val="%5."/>
      <w:lvlJc w:val="left"/>
      <w:pPr>
        <w:ind w:left="3600" w:hanging="360"/>
      </w:pPr>
    </w:lvl>
    <w:lvl w:ilvl="5" w:tplc="8260259A" w:tentative="1">
      <w:start w:val="1"/>
      <w:numFmt w:val="lowerRoman"/>
      <w:lvlText w:val="%6."/>
      <w:lvlJc w:val="right"/>
      <w:pPr>
        <w:ind w:left="4320" w:hanging="180"/>
      </w:pPr>
    </w:lvl>
    <w:lvl w:ilvl="6" w:tplc="CA84DDBC" w:tentative="1">
      <w:start w:val="1"/>
      <w:numFmt w:val="decimal"/>
      <w:lvlText w:val="%7."/>
      <w:lvlJc w:val="left"/>
      <w:pPr>
        <w:ind w:left="5040" w:hanging="360"/>
      </w:pPr>
    </w:lvl>
    <w:lvl w:ilvl="7" w:tplc="19DC595E" w:tentative="1">
      <w:start w:val="1"/>
      <w:numFmt w:val="lowerLetter"/>
      <w:lvlText w:val="%8."/>
      <w:lvlJc w:val="left"/>
      <w:pPr>
        <w:ind w:left="5760" w:hanging="360"/>
      </w:pPr>
    </w:lvl>
    <w:lvl w:ilvl="8" w:tplc="F880E098" w:tentative="1">
      <w:start w:val="1"/>
      <w:numFmt w:val="lowerRoman"/>
      <w:lvlText w:val="%9."/>
      <w:lvlJc w:val="right"/>
      <w:pPr>
        <w:ind w:left="6480" w:hanging="180"/>
      </w:pPr>
    </w:lvl>
  </w:abstractNum>
  <w:abstractNum w:abstractNumId="1" w15:restartNumberingAfterBreak="0">
    <w:nsid w:val="18D31481"/>
    <w:multiLevelType w:val="hybridMultilevel"/>
    <w:tmpl w:val="A19A3DA4"/>
    <w:lvl w:ilvl="0" w:tplc="5E601050">
      <w:start w:val="1"/>
      <w:numFmt w:val="decimal"/>
      <w:lvlText w:val="%1."/>
      <w:lvlJc w:val="left"/>
      <w:pPr>
        <w:ind w:left="720" w:hanging="360"/>
      </w:pPr>
    </w:lvl>
    <w:lvl w:ilvl="1" w:tplc="4DD0AEC4" w:tentative="1">
      <w:start w:val="1"/>
      <w:numFmt w:val="lowerLetter"/>
      <w:lvlText w:val="%2."/>
      <w:lvlJc w:val="left"/>
      <w:pPr>
        <w:ind w:left="1440" w:hanging="360"/>
      </w:pPr>
    </w:lvl>
    <w:lvl w:ilvl="2" w:tplc="1500197E" w:tentative="1">
      <w:start w:val="1"/>
      <w:numFmt w:val="lowerRoman"/>
      <w:lvlText w:val="%3."/>
      <w:lvlJc w:val="right"/>
      <w:pPr>
        <w:ind w:left="2160" w:hanging="180"/>
      </w:pPr>
    </w:lvl>
    <w:lvl w:ilvl="3" w:tplc="6114B9BA" w:tentative="1">
      <w:start w:val="1"/>
      <w:numFmt w:val="decimal"/>
      <w:lvlText w:val="%4."/>
      <w:lvlJc w:val="left"/>
      <w:pPr>
        <w:ind w:left="2880" w:hanging="360"/>
      </w:pPr>
    </w:lvl>
    <w:lvl w:ilvl="4" w:tplc="C02E4C36" w:tentative="1">
      <w:start w:val="1"/>
      <w:numFmt w:val="lowerLetter"/>
      <w:lvlText w:val="%5."/>
      <w:lvlJc w:val="left"/>
      <w:pPr>
        <w:ind w:left="3600" w:hanging="360"/>
      </w:pPr>
    </w:lvl>
    <w:lvl w:ilvl="5" w:tplc="22965832" w:tentative="1">
      <w:start w:val="1"/>
      <w:numFmt w:val="lowerRoman"/>
      <w:lvlText w:val="%6."/>
      <w:lvlJc w:val="right"/>
      <w:pPr>
        <w:ind w:left="4320" w:hanging="180"/>
      </w:pPr>
    </w:lvl>
    <w:lvl w:ilvl="6" w:tplc="D07CE05C" w:tentative="1">
      <w:start w:val="1"/>
      <w:numFmt w:val="decimal"/>
      <w:lvlText w:val="%7."/>
      <w:lvlJc w:val="left"/>
      <w:pPr>
        <w:ind w:left="5040" w:hanging="360"/>
      </w:pPr>
    </w:lvl>
    <w:lvl w:ilvl="7" w:tplc="E7D460E4" w:tentative="1">
      <w:start w:val="1"/>
      <w:numFmt w:val="lowerLetter"/>
      <w:lvlText w:val="%8."/>
      <w:lvlJc w:val="left"/>
      <w:pPr>
        <w:ind w:left="5760" w:hanging="360"/>
      </w:pPr>
    </w:lvl>
    <w:lvl w:ilvl="8" w:tplc="906C19B8" w:tentative="1">
      <w:start w:val="1"/>
      <w:numFmt w:val="lowerRoman"/>
      <w:lvlText w:val="%9."/>
      <w:lvlJc w:val="right"/>
      <w:pPr>
        <w:ind w:left="6480" w:hanging="180"/>
      </w:pPr>
    </w:lvl>
  </w:abstractNum>
  <w:abstractNum w:abstractNumId="2" w15:restartNumberingAfterBreak="0">
    <w:nsid w:val="1900558A"/>
    <w:multiLevelType w:val="hybridMultilevel"/>
    <w:tmpl w:val="5E6A6950"/>
    <w:lvl w:ilvl="0" w:tplc="C0AADE82">
      <w:start w:val="1"/>
      <w:numFmt w:val="decimal"/>
      <w:lvlText w:val="%1."/>
      <w:lvlJc w:val="left"/>
      <w:pPr>
        <w:ind w:left="456" w:hanging="360"/>
      </w:pPr>
      <w:rPr>
        <w:rFonts w:hint="default"/>
      </w:rPr>
    </w:lvl>
    <w:lvl w:ilvl="1" w:tplc="D0DAEC9A" w:tentative="1">
      <w:start w:val="1"/>
      <w:numFmt w:val="lowerLetter"/>
      <w:lvlText w:val="%2."/>
      <w:lvlJc w:val="left"/>
      <w:pPr>
        <w:ind w:left="1176" w:hanging="360"/>
      </w:pPr>
    </w:lvl>
    <w:lvl w:ilvl="2" w:tplc="815C25C4" w:tentative="1">
      <w:start w:val="1"/>
      <w:numFmt w:val="lowerRoman"/>
      <w:lvlText w:val="%3."/>
      <w:lvlJc w:val="right"/>
      <w:pPr>
        <w:ind w:left="1896" w:hanging="180"/>
      </w:pPr>
    </w:lvl>
    <w:lvl w:ilvl="3" w:tplc="518A8808" w:tentative="1">
      <w:start w:val="1"/>
      <w:numFmt w:val="decimal"/>
      <w:lvlText w:val="%4."/>
      <w:lvlJc w:val="left"/>
      <w:pPr>
        <w:ind w:left="2616" w:hanging="360"/>
      </w:pPr>
    </w:lvl>
    <w:lvl w:ilvl="4" w:tplc="046E2BD0" w:tentative="1">
      <w:start w:val="1"/>
      <w:numFmt w:val="lowerLetter"/>
      <w:lvlText w:val="%5."/>
      <w:lvlJc w:val="left"/>
      <w:pPr>
        <w:ind w:left="3336" w:hanging="360"/>
      </w:pPr>
    </w:lvl>
    <w:lvl w:ilvl="5" w:tplc="1C146DEA" w:tentative="1">
      <w:start w:val="1"/>
      <w:numFmt w:val="lowerRoman"/>
      <w:lvlText w:val="%6."/>
      <w:lvlJc w:val="right"/>
      <w:pPr>
        <w:ind w:left="4056" w:hanging="180"/>
      </w:pPr>
    </w:lvl>
    <w:lvl w:ilvl="6" w:tplc="2EF60432" w:tentative="1">
      <w:start w:val="1"/>
      <w:numFmt w:val="decimal"/>
      <w:lvlText w:val="%7."/>
      <w:lvlJc w:val="left"/>
      <w:pPr>
        <w:ind w:left="4776" w:hanging="360"/>
      </w:pPr>
    </w:lvl>
    <w:lvl w:ilvl="7" w:tplc="67405FCC" w:tentative="1">
      <w:start w:val="1"/>
      <w:numFmt w:val="lowerLetter"/>
      <w:lvlText w:val="%8."/>
      <w:lvlJc w:val="left"/>
      <w:pPr>
        <w:ind w:left="5496" w:hanging="360"/>
      </w:pPr>
    </w:lvl>
    <w:lvl w:ilvl="8" w:tplc="71AAEFAA" w:tentative="1">
      <w:start w:val="1"/>
      <w:numFmt w:val="lowerRoman"/>
      <w:lvlText w:val="%9."/>
      <w:lvlJc w:val="right"/>
      <w:pPr>
        <w:ind w:left="6216" w:hanging="180"/>
      </w:pPr>
    </w:lvl>
  </w:abstractNum>
  <w:abstractNum w:abstractNumId="3" w15:restartNumberingAfterBreak="0">
    <w:nsid w:val="3FB3024B"/>
    <w:multiLevelType w:val="hybridMultilevel"/>
    <w:tmpl w:val="3B5C8E08"/>
    <w:lvl w:ilvl="0" w:tplc="C7AC9E9A">
      <w:start w:val="1"/>
      <w:numFmt w:val="bullet"/>
      <w:lvlText w:val="•"/>
      <w:lvlJc w:val="left"/>
      <w:pPr>
        <w:tabs>
          <w:tab w:val="num" w:pos="720"/>
        </w:tabs>
        <w:ind w:left="720" w:hanging="360"/>
      </w:pPr>
      <w:rPr>
        <w:rFonts w:ascii="Times New Roman" w:hAnsi="Times New Roman" w:hint="default"/>
      </w:rPr>
    </w:lvl>
    <w:lvl w:ilvl="1" w:tplc="0BEA6F2E" w:tentative="1">
      <w:start w:val="1"/>
      <w:numFmt w:val="bullet"/>
      <w:lvlText w:val="•"/>
      <w:lvlJc w:val="left"/>
      <w:pPr>
        <w:tabs>
          <w:tab w:val="num" w:pos="1440"/>
        </w:tabs>
        <w:ind w:left="1440" w:hanging="360"/>
      </w:pPr>
      <w:rPr>
        <w:rFonts w:ascii="Times New Roman" w:hAnsi="Times New Roman" w:hint="default"/>
      </w:rPr>
    </w:lvl>
    <w:lvl w:ilvl="2" w:tplc="B77474F6" w:tentative="1">
      <w:start w:val="1"/>
      <w:numFmt w:val="bullet"/>
      <w:lvlText w:val="•"/>
      <w:lvlJc w:val="left"/>
      <w:pPr>
        <w:tabs>
          <w:tab w:val="num" w:pos="2160"/>
        </w:tabs>
        <w:ind w:left="2160" w:hanging="360"/>
      </w:pPr>
      <w:rPr>
        <w:rFonts w:ascii="Times New Roman" w:hAnsi="Times New Roman" w:hint="default"/>
      </w:rPr>
    </w:lvl>
    <w:lvl w:ilvl="3" w:tplc="92322D4E" w:tentative="1">
      <w:start w:val="1"/>
      <w:numFmt w:val="bullet"/>
      <w:lvlText w:val="•"/>
      <w:lvlJc w:val="left"/>
      <w:pPr>
        <w:tabs>
          <w:tab w:val="num" w:pos="2880"/>
        </w:tabs>
        <w:ind w:left="2880" w:hanging="360"/>
      </w:pPr>
      <w:rPr>
        <w:rFonts w:ascii="Times New Roman" w:hAnsi="Times New Roman" w:hint="default"/>
      </w:rPr>
    </w:lvl>
    <w:lvl w:ilvl="4" w:tplc="830CDE26" w:tentative="1">
      <w:start w:val="1"/>
      <w:numFmt w:val="bullet"/>
      <w:lvlText w:val="•"/>
      <w:lvlJc w:val="left"/>
      <w:pPr>
        <w:tabs>
          <w:tab w:val="num" w:pos="3600"/>
        </w:tabs>
        <w:ind w:left="3600" w:hanging="360"/>
      </w:pPr>
      <w:rPr>
        <w:rFonts w:ascii="Times New Roman" w:hAnsi="Times New Roman" w:hint="default"/>
      </w:rPr>
    </w:lvl>
    <w:lvl w:ilvl="5" w:tplc="18501ED4" w:tentative="1">
      <w:start w:val="1"/>
      <w:numFmt w:val="bullet"/>
      <w:lvlText w:val="•"/>
      <w:lvlJc w:val="left"/>
      <w:pPr>
        <w:tabs>
          <w:tab w:val="num" w:pos="4320"/>
        </w:tabs>
        <w:ind w:left="4320" w:hanging="360"/>
      </w:pPr>
      <w:rPr>
        <w:rFonts w:ascii="Times New Roman" w:hAnsi="Times New Roman" w:hint="default"/>
      </w:rPr>
    </w:lvl>
    <w:lvl w:ilvl="6" w:tplc="2B5E1FD6" w:tentative="1">
      <w:start w:val="1"/>
      <w:numFmt w:val="bullet"/>
      <w:lvlText w:val="•"/>
      <w:lvlJc w:val="left"/>
      <w:pPr>
        <w:tabs>
          <w:tab w:val="num" w:pos="5040"/>
        </w:tabs>
        <w:ind w:left="5040" w:hanging="360"/>
      </w:pPr>
      <w:rPr>
        <w:rFonts w:ascii="Times New Roman" w:hAnsi="Times New Roman" w:hint="default"/>
      </w:rPr>
    </w:lvl>
    <w:lvl w:ilvl="7" w:tplc="D35C3126" w:tentative="1">
      <w:start w:val="1"/>
      <w:numFmt w:val="bullet"/>
      <w:lvlText w:val="•"/>
      <w:lvlJc w:val="left"/>
      <w:pPr>
        <w:tabs>
          <w:tab w:val="num" w:pos="5760"/>
        </w:tabs>
        <w:ind w:left="5760" w:hanging="360"/>
      </w:pPr>
      <w:rPr>
        <w:rFonts w:ascii="Times New Roman" w:hAnsi="Times New Roman" w:hint="default"/>
      </w:rPr>
    </w:lvl>
    <w:lvl w:ilvl="8" w:tplc="FC501A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4722473"/>
    <w:multiLevelType w:val="multilevel"/>
    <w:tmpl w:val="0E32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47646"/>
    <w:multiLevelType w:val="hybridMultilevel"/>
    <w:tmpl w:val="6B808F62"/>
    <w:lvl w:ilvl="0" w:tplc="E8301C52">
      <w:start w:val="1"/>
      <w:numFmt w:val="bullet"/>
      <w:lvlText w:val="•"/>
      <w:lvlJc w:val="left"/>
      <w:pPr>
        <w:tabs>
          <w:tab w:val="num" w:pos="720"/>
        </w:tabs>
        <w:ind w:left="720" w:hanging="360"/>
      </w:pPr>
      <w:rPr>
        <w:rFonts w:ascii="Arial" w:hAnsi="Arial" w:hint="default"/>
      </w:rPr>
    </w:lvl>
    <w:lvl w:ilvl="1" w:tplc="D2ACB844" w:tentative="1">
      <w:start w:val="1"/>
      <w:numFmt w:val="bullet"/>
      <w:lvlText w:val="•"/>
      <w:lvlJc w:val="left"/>
      <w:pPr>
        <w:tabs>
          <w:tab w:val="num" w:pos="1440"/>
        </w:tabs>
        <w:ind w:left="1440" w:hanging="360"/>
      </w:pPr>
      <w:rPr>
        <w:rFonts w:ascii="Arial" w:hAnsi="Arial" w:hint="default"/>
      </w:rPr>
    </w:lvl>
    <w:lvl w:ilvl="2" w:tplc="9BFEF02C" w:tentative="1">
      <w:start w:val="1"/>
      <w:numFmt w:val="bullet"/>
      <w:lvlText w:val="•"/>
      <w:lvlJc w:val="left"/>
      <w:pPr>
        <w:tabs>
          <w:tab w:val="num" w:pos="2160"/>
        </w:tabs>
        <w:ind w:left="2160" w:hanging="360"/>
      </w:pPr>
      <w:rPr>
        <w:rFonts w:ascii="Arial" w:hAnsi="Arial" w:hint="default"/>
      </w:rPr>
    </w:lvl>
    <w:lvl w:ilvl="3" w:tplc="7C8686CC" w:tentative="1">
      <w:start w:val="1"/>
      <w:numFmt w:val="bullet"/>
      <w:lvlText w:val="•"/>
      <w:lvlJc w:val="left"/>
      <w:pPr>
        <w:tabs>
          <w:tab w:val="num" w:pos="2880"/>
        </w:tabs>
        <w:ind w:left="2880" w:hanging="360"/>
      </w:pPr>
      <w:rPr>
        <w:rFonts w:ascii="Arial" w:hAnsi="Arial" w:hint="default"/>
      </w:rPr>
    </w:lvl>
    <w:lvl w:ilvl="4" w:tplc="EB2EC7A0" w:tentative="1">
      <w:start w:val="1"/>
      <w:numFmt w:val="bullet"/>
      <w:lvlText w:val="•"/>
      <w:lvlJc w:val="left"/>
      <w:pPr>
        <w:tabs>
          <w:tab w:val="num" w:pos="3600"/>
        </w:tabs>
        <w:ind w:left="3600" w:hanging="360"/>
      </w:pPr>
      <w:rPr>
        <w:rFonts w:ascii="Arial" w:hAnsi="Arial" w:hint="default"/>
      </w:rPr>
    </w:lvl>
    <w:lvl w:ilvl="5" w:tplc="BF28DE54" w:tentative="1">
      <w:start w:val="1"/>
      <w:numFmt w:val="bullet"/>
      <w:lvlText w:val="•"/>
      <w:lvlJc w:val="left"/>
      <w:pPr>
        <w:tabs>
          <w:tab w:val="num" w:pos="4320"/>
        </w:tabs>
        <w:ind w:left="4320" w:hanging="360"/>
      </w:pPr>
      <w:rPr>
        <w:rFonts w:ascii="Arial" w:hAnsi="Arial" w:hint="default"/>
      </w:rPr>
    </w:lvl>
    <w:lvl w:ilvl="6" w:tplc="F856C6CA" w:tentative="1">
      <w:start w:val="1"/>
      <w:numFmt w:val="bullet"/>
      <w:lvlText w:val="•"/>
      <w:lvlJc w:val="left"/>
      <w:pPr>
        <w:tabs>
          <w:tab w:val="num" w:pos="5040"/>
        </w:tabs>
        <w:ind w:left="5040" w:hanging="360"/>
      </w:pPr>
      <w:rPr>
        <w:rFonts w:ascii="Arial" w:hAnsi="Arial" w:hint="default"/>
      </w:rPr>
    </w:lvl>
    <w:lvl w:ilvl="7" w:tplc="BF0CE208" w:tentative="1">
      <w:start w:val="1"/>
      <w:numFmt w:val="bullet"/>
      <w:lvlText w:val="•"/>
      <w:lvlJc w:val="left"/>
      <w:pPr>
        <w:tabs>
          <w:tab w:val="num" w:pos="5760"/>
        </w:tabs>
        <w:ind w:left="5760" w:hanging="360"/>
      </w:pPr>
      <w:rPr>
        <w:rFonts w:ascii="Arial" w:hAnsi="Arial" w:hint="default"/>
      </w:rPr>
    </w:lvl>
    <w:lvl w:ilvl="8" w:tplc="062E5F32" w:tentative="1">
      <w:start w:val="1"/>
      <w:numFmt w:val="bullet"/>
      <w:lvlText w:val="•"/>
      <w:lvlJc w:val="left"/>
      <w:pPr>
        <w:tabs>
          <w:tab w:val="num" w:pos="6480"/>
        </w:tabs>
        <w:ind w:left="6480" w:hanging="360"/>
      </w:pPr>
      <w:rPr>
        <w:rFonts w:ascii="Arial" w:hAnsi="Arial" w:hint="default"/>
      </w:rPr>
    </w:lvl>
  </w:abstractNum>
  <w:num w:numId="1" w16cid:durableId="1596592389">
    <w:abstractNumId w:val="5"/>
  </w:num>
  <w:num w:numId="2" w16cid:durableId="1782916653">
    <w:abstractNumId w:val="4"/>
  </w:num>
  <w:num w:numId="3" w16cid:durableId="2014869343">
    <w:abstractNumId w:val="3"/>
  </w:num>
  <w:num w:numId="4" w16cid:durableId="1134101097">
    <w:abstractNumId w:val="0"/>
  </w:num>
  <w:num w:numId="5" w16cid:durableId="1141187400">
    <w:abstractNumId w:val="1"/>
  </w:num>
  <w:num w:numId="6" w16cid:durableId="21405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42"/>
    <w:rsid w:val="0000557A"/>
    <w:rsid w:val="00022D3D"/>
    <w:rsid w:val="00046053"/>
    <w:rsid w:val="00066470"/>
    <w:rsid w:val="00072D4B"/>
    <w:rsid w:val="00094917"/>
    <w:rsid w:val="000A303F"/>
    <w:rsid w:val="000D18BA"/>
    <w:rsid w:val="00115F42"/>
    <w:rsid w:val="00147F3E"/>
    <w:rsid w:val="00154823"/>
    <w:rsid w:val="001C5974"/>
    <w:rsid w:val="001E4608"/>
    <w:rsid w:val="00203231"/>
    <w:rsid w:val="00203983"/>
    <w:rsid w:val="00214CDB"/>
    <w:rsid w:val="00220AC9"/>
    <w:rsid w:val="00246298"/>
    <w:rsid w:val="0027602D"/>
    <w:rsid w:val="00296223"/>
    <w:rsid w:val="002C54BB"/>
    <w:rsid w:val="002E0FCF"/>
    <w:rsid w:val="002E2E0B"/>
    <w:rsid w:val="00326121"/>
    <w:rsid w:val="003471F7"/>
    <w:rsid w:val="003A0C85"/>
    <w:rsid w:val="003B47A3"/>
    <w:rsid w:val="00450CC3"/>
    <w:rsid w:val="00455097"/>
    <w:rsid w:val="004C37B2"/>
    <w:rsid w:val="00506A5B"/>
    <w:rsid w:val="005136BD"/>
    <w:rsid w:val="005373FD"/>
    <w:rsid w:val="0053762E"/>
    <w:rsid w:val="00554370"/>
    <w:rsid w:val="0056443B"/>
    <w:rsid w:val="00582C5D"/>
    <w:rsid w:val="005C038E"/>
    <w:rsid w:val="005C1687"/>
    <w:rsid w:val="005E144D"/>
    <w:rsid w:val="00600024"/>
    <w:rsid w:val="00605CF4"/>
    <w:rsid w:val="0062521A"/>
    <w:rsid w:val="006419C5"/>
    <w:rsid w:val="00672D91"/>
    <w:rsid w:val="006E67FF"/>
    <w:rsid w:val="00735086"/>
    <w:rsid w:val="00757ADF"/>
    <w:rsid w:val="00762D9B"/>
    <w:rsid w:val="007727F5"/>
    <w:rsid w:val="00777C2D"/>
    <w:rsid w:val="007C2C0A"/>
    <w:rsid w:val="008008ED"/>
    <w:rsid w:val="0080450D"/>
    <w:rsid w:val="00814487"/>
    <w:rsid w:val="00874C89"/>
    <w:rsid w:val="00887AC4"/>
    <w:rsid w:val="008D4365"/>
    <w:rsid w:val="008F40B3"/>
    <w:rsid w:val="008F5981"/>
    <w:rsid w:val="0091047D"/>
    <w:rsid w:val="00974FCC"/>
    <w:rsid w:val="009D43ED"/>
    <w:rsid w:val="00A7090E"/>
    <w:rsid w:val="00AE6ACC"/>
    <w:rsid w:val="00B00E25"/>
    <w:rsid w:val="00B34D7E"/>
    <w:rsid w:val="00B3663E"/>
    <w:rsid w:val="00B408F5"/>
    <w:rsid w:val="00B5618B"/>
    <w:rsid w:val="00BC2918"/>
    <w:rsid w:val="00BC3434"/>
    <w:rsid w:val="00BF4E88"/>
    <w:rsid w:val="00C219BF"/>
    <w:rsid w:val="00C250A2"/>
    <w:rsid w:val="00C34EF7"/>
    <w:rsid w:val="00C34F6D"/>
    <w:rsid w:val="00C76C4B"/>
    <w:rsid w:val="00CD110D"/>
    <w:rsid w:val="00CD4694"/>
    <w:rsid w:val="00D201DA"/>
    <w:rsid w:val="00D41F06"/>
    <w:rsid w:val="00D5104A"/>
    <w:rsid w:val="00D9146A"/>
    <w:rsid w:val="00DB2622"/>
    <w:rsid w:val="00DB6F88"/>
    <w:rsid w:val="00E07F39"/>
    <w:rsid w:val="00E23D87"/>
    <w:rsid w:val="00E71FAE"/>
    <w:rsid w:val="00E8447B"/>
    <w:rsid w:val="00EB65D2"/>
    <w:rsid w:val="00ED1255"/>
    <w:rsid w:val="00EF4BA4"/>
    <w:rsid w:val="00F0036D"/>
    <w:rsid w:val="00F47DB1"/>
    <w:rsid w:val="00F926BF"/>
    <w:rsid w:val="00FD2845"/>
    <w:rsid w:val="00FE35DA"/>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1033"/>
  <w15:chartTrackingRefBased/>
  <w15:docId w15:val="{01C983D4-8E0E-4153-9599-3F133B1F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42"/>
    <w:rPr>
      <w:rFonts w:eastAsiaTheme="majorEastAsia" w:cstheme="majorBidi"/>
      <w:color w:val="272727" w:themeColor="text1" w:themeTint="D8"/>
    </w:rPr>
  </w:style>
  <w:style w:type="paragraph" w:styleId="Title">
    <w:name w:val="Title"/>
    <w:basedOn w:val="Normal"/>
    <w:next w:val="Normal"/>
    <w:link w:val="TitleChar"/>
    <w:uiPriority w:val="10"/>
    <w:qFormat/>
    <w:rsid w:val="00115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42"/>
    <w:pPr>
      <w:spacing w:before="160"/>
      <w:jc w:val="center"/>
    </w:pPr>
    <w:rPr>
      <w:i/>
      <w:iCs/>
      <w:color w:val="404040" w:themeColor="text1" w:themeTint="BF"/>
    </w:rPr>
  </w:style>
  <w:style w:type="character" w:customStyle="1" w:styleId="QuoteChar">
    <w:name w:val="Quote Char"/>
    <w:basedOn w:val="DefaultParagraphFont"/>
    <w:link w:val="Quote"/>
    <w:uiPriority w:val="29"/>
    <w:rsid w:val="00115F42"/>
    <w:rPr>
      <w:i/>
      <w:iCs/>
      <w:color w:val="404040" w:themeColor="text1" w:themeTint="BF"/>
    </w:rPr>
  </w:style>
  <w:style w:type="paragraph" w:styleId="ListParagraph">
    <w:name w:val="List Paragraph"/>
    <w:basedOn w:val="Normal"/>
    <w:uiPriority w:val="34"/>
    <w:qFormat/>
    <w:rsid w:val="00115F42"/>
    <w:pPr>
      <w:ind w:left="720"/>
      <w:contextualSpacing/>
    </w:pPr>
  </w:style>
  <w:style w:type="character" w:styleId="IntenseEmphasis">
    <w:name w:val="Intense Emphasis"/>
    <w:basedOn w:val="DefaultParagraphFont"/>
    <w:uiPriority w:val="21"/>
    <w:qFormat/>
    <w:rsid w:val="00115F42"/>
    <w:rPr>
      <w:i/>
      <w:iCs/>
      <w:color w:val="0F4761" w:themeColor="accent1" w:themeShade="BF"/>
    </w:rPr>
  </w:style>
  <w:style w:type="paragraph" w:styleId="IntenseQuote">
    <w:name w:val="Intense Quote"/>
    <w:basedOn w:val="Normal"/>
    <w:next w:val="Normal"/>
    <w:link w:val="IntenseQuoteChar"/>
    <w:uiPriority w:val="30"/>
    <w:qFormat/>
    <w:rsid w:val="00115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42"/>
    <w:rPr>
      <w:i/>
      <w:iCs/>
      <w:color w:val="0F4761" w:themeColor="accent1" w:themeShade="BF"/>
    </w:rPr>
  </w:style>
  <w:style w:type="character" w:styleId="IntenseReference">
    <w:name w:val="Intense Reference"/>
    <w:basedOn w:val="DefaultParagraphFont"/>
    <w:uiPriority w:val="32"/>
    <w:qFormat/>
    <w:rsid w:val="00115F42"/>
    <w:rPr>
      <w:b/>
      <w:bCs/>
      <w:smallCaps/>
      <w:color w:val="0F4761" w:themeColor="accent1" w:themeShade="BF"/>
      <w:spacing w:val="5"/>
    </w:rPr>
  </w:style>
  <w:style w:type="character" w:styleId="Hyperlink">
    <w:name w:val="Hyperlink"/>
    <w:basedOn w:val="DefaultParagraphFont"/>
    <w:uiPriority w:val="99"/>
    <w:unhideWhenUsed/>
    <w:rsid w:val="00FF7E29"/>
    <w:rPr>
      <w:color w:val="467886" w:themeColor="hyperlink"/>
      <w:u w:val="single"/>
    </w:rPr>
  </w:style>
  <w:style w:type="character" w:customStyle="1" w:styleId="UnresolvedMention1">
    <w:name w:val="Unresolved Mention1"/>
    <w:basedOn w:val="DefaultParagraphFont"/>
    <w:uiPriority w:val="99"/>
    <w:semiHidden/>
    <w:unhideWhenUsed/>
    <w:rsid w:val="00FF7E29"/>
    <w:rPr>
      <w:color w:val="605E5C"/>
      <w:shd w:val="clear" w:color="auto" w:fill="E1DFDD"/>
    </w:rPr>
  </w:style>
  <w:style w:type="paragraph" w:styleId="Header">
    <w:name w:val="header"/>
    <w:basedOn w:val="Normal"/>
    <w:link w:val="HeaderChar"/>
    <w:uiPriority w:val="99"/>
    <w:unhideWhenUsed/>
    <w:rsid w:val="002C5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BB"/>
  </w:style>
  <w:style w:type="paragraph" w:styleId="Footer">
    <w:name w:val="footer"/>
    <w:basedOn w:val="Normal"/>
    <w:link w:val="FooterChar"/>
    <w:uiPriority w:val="99"/>
    <w:unhideWhenUsed/>
    <w:rsid w:val="002C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BB"/>
  </w:style>
  <w:style w:type="paragraph" w:styleId="Revision">
    <w:name w:val="Revision"/>
    <w:hidden/>
    <w:uiPriority w:val="99"/>
    <w:semiHidden/>
    <w:rsid w:val="005C1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64872">
      <w:bodyDiv w:val="1"/>
      <w:marLeft w:val="0"/>
      <w:marRight w:val="0"/>
      <w:marTop w:val="0"/>
      <w:marBottom w:val="0"/>
      <w:divBdr>
        <w:top w:val="none" w:sz="0" w:space="0" w:color="auto"/>
        <w:left w:val="none" w:sz="0" w:space="0" w:color="auto"/>
        <w:bottom w:val="none" w:sz="0" w:space="0" w:color="auto"/>
        <w:right w:val="none" w:sz="0" w:space="0" w:color="auto"/>
      </w:divBdr>
    </w:div>
    <w:div w:id="19155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nema.gov.au/about-us/policies/strategies-and-frameworks/disaster-risk-re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4EBDBB-4C9E-4344-B6BB-4FA0440C6136}"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en-US"/>
        </a:p>
      </dgm:t>
    </dgm:pt>
    <dgm:pt modelId="{02D4C5AE-7CDF-4236-843B-31C8FBB14B9B}">
      <dgm:prSet phldrT="[Text]" custT="1"/>
      <dgm:spPr/>
      <dgm:t>
        <a:bodyPr/>
        <a:lstStyle/>
        <a:p>
          <a:pPr>
            <a:lnSpc>
              <a:spcPct val="70000"/>
            </a:lnSpc>
          </a:pPr>
          <a:r>
            <a:rPr lang="ar-EG" sz="1200" b="1">
              <a:latin typeface="Dubai" panose="020B0503030403030204" pitchFamily="34" charset="-78"/>
              <a:cs typeface="Dubai" panose="020B0503030403030204" pitchFamily="34" charset="-78"/>
            </a:rPr>
            <a:t>معيار ممارسة </a:t>
          </a:r>
          <a:r>
            <a:rPr lang="en-US" sz="1200" b="1">
              <a:latin typeface="Dubai" panose="020B0503030403030204" pitchFamily="34" charset="-78"/>
              <a:cs typeface="Dubai" panose="020B0503030403030204" pitchFamily="34" charset="-78"/>
            </a:rPr>
            <a:t>NDIS</a:t>
          </a:r>
          <a:endParaRPr lang="ar-EG" sz="1200" b="1">
            <a:latin typeface="Dubai" panose="020B0503030403030204" pitchFamily="34" charset="-78"/>
            <a:cs typeface="Dubai" panose="020B0503030403030204" pitchFamily="34" charset="-78"/>
          </a:endParaRPr>
        </a:p>
        <a:p>
          <a:pPr>
            <a:lnSpc>
              <a:spcPct val="70000"/>
            </a:lnSpc>
          </a:pPr>
          <a:r>
            <a:rPr lang="ar-EG" sz="1200" b="1">
              <a:latin typeface="Dubai" panose="020B0503030403030204" pitchFamily="34" charset="-78"/>
              <a:cs typeface="Dubai" panose="020B0503030403030204" pitchFamily="34" charset="-78"/>
            </a:rPr>
            <a:t>لإدارة الطوارئ والكوارث</a:t>
          </a:r>
          <a:endParaRPr lang="en-US" sz="1200" b="1">
            <a:latin typeface="Dubai" panose="020B0503030403030204" pitchFamily="34" charset="-78"/>
            <a:cs typeface="Dubai" panose="020B0503030403030204" pitchFamily="34" charset="-78"/>
          </a:endParaRPr>
        </a:p>
        <a:p>
          <a:pPr>
            <a:lnSpc>
              <a:spcPct val="70000"/>
            </a:lnSpc>
          </a:pPr>
          <a:endParaRPr lang="en-US" sz="500" b="1">
            <a:latin typeface="Dubai" panose="020B0503030403030204" pitchFamily="34" charset="-78"/>
            <a:cs typeface="Dubai" panose="020B0503030403030204" pitchFamily="34" charset="-78"/>
          </a:endParaRPr>
        </a:p>
        <a:p>
          <a:pPr>
            <a:lnSpc>
              <a:spcPct val="70000"/>
            </a:lnSpc>
          </a:pPr>
          <a:r>
            <a:rPr lang="ar-EG" sz="1200" b="1">
              <a:latin typeface="Dubai" panose="020B0503030403030204" pitchFamily="34" charset="-78"/>
              <a:cs typeface="Dubai" panose="020B0503030403030204" pitchFamily="34" charset="-78"/>
            </a:rPr>
            <a:t>التزامات صحة </a:t>
          </a:r>
          <a:br>
            <a:rPr lang="en-US" sz="1200" b="1">
              <a:latin typeface="Dubai" panose="020B0503030403030204" pitchFamily="34" charset="-78"/>
              <a:cs typeface="Dubai" panose="020B0503030403030204" pitchFamily="34" charset="-78"/>
            </a:rPr>
          </a:br>
          <a:r>
            <a:rPr lang="ar-EG" sz="1200" b="1">
              <a:latin typeface="Dubai" panose="020B0503030403030204" pitchFamily="34" charset="-78"/>
              <a:cs typeface="Dubai" panose="020B0503030403030204" pitchFamily="34" charset="-78"/>
            </a:rPr>
            <a:t>وسلامة العمل</a:t>
          </a:r>
          <a:endParaRPr lang="en-US" sz="1200" b="1">
            <a:latin typeface="Dubai" panose="020B0503030403030204" pitchFamily="34" charset="-78"/>
            <a:cs typeface="Dubai" panose="020B0503030403030204" pitchFamily="34" charset="-78"/>
          </a:endParaRPr>
        </a:p>
      </dgm:t>
    </dgm:pt>
    <dgm:pt modelId="{671A9978-292A-4A8C-B4B9-C45B029E2C73}" type="parTrans" cxnId="{713D1BAE-3C38-46D5-8B38-6FE70670FF67}">
      <dgm:prSet/>
      <dgm:spPr/>
      <dgm:t>
        <a:bodyPr/>
        <a:lstStyle/>
        <a:p>
          <a:endParaRPr lang="en-US"/>
        </a:p>
      </dgm:t>
    </dgm:pt>
    <dgm:pt modelId="{CC9ED4BA-A6FC-4BDD-98D8-A1E6C3152AC2}" type="sibTrans" cxnId="{713D1BAE-3C38-46D5-8B38-6FE70670FF67}">
      <dgm:prSet/>
      <dgm:spPr/>
      <dgm:t>
        <a:bodyPr/>
        <a:lstStyle/>
        <a:p>
          <a:endParaRPr lang="en-US"/>
        </a:p>
      </dgm:t>
    </dgm:pt>
    <dgm:pt modelId="{433ECCE0-F9C8-4C24-9F07-CA77DCFD03BF}">
      <dgm:prSet phldrT="[Text]" custT="1"/>
      <dgm:spPr/>
      <dgm:t>
        <a:bodyPr/>
        <a:lstStyle/>
        <a:p>
          <a:pPr>
            <a:lnSpc>
              <a:spcPct val="70000"/>
            </a:lnSpc>
          </a:pPr>
          <a:r>
            <a:rPr lang="ar-EG" sz="1200" b="1">
              <a:latin typeface="Dubai" panose="020B0503030403030204" pitchFamily="34" charset="-78"/>
              <a:cs typeface="Dubai" panose="020B0503030403030204" pitchFamily="34" charset="-78"/>
            </a:rPr>
            <a:t>الإطار الوطني</a:t>
          </a:r>
        </a:p>
        <a:p>
          <a:pPr>
            <a:lnSpc>
              <a:spcPct val="70000"/>
            </a:lnSpc>
          </a:pPr>
          <a:r>
            <a:rPr lang="ar-EG" sz="1200" b="1">
              <a:latin typeface="Dubai" panose="020B0503030403030204" pitchFamily="34" charset="-78"/>
              <a:cs typeface="Dubai" panose="020B0503030403030204" pitchFamily="34" charset="-78"/>
            </a:rPr>
            <a:t>للحد من مخاطر الكوارث</a:t>
          </a:r>
          <a:endParaRPr lang="en-US" sz="1200" b="1">
            <a:latin typeface="Dubai" panose="020B0503030403030204" pitchFamily="34" charset="-78"/>
            <a:cs typeface="Dubai" panose="020B0503030403030204" pitchFamily="34" charset="-78"/>
          </a:endParaRPr>
        </a:p>
      </dgm:t>
    </dgm:pt>
    <dgm:pt modelId="{6D5A4C7A-1E05-4C1D-8796-8CEDB626A78F}" type="parTrans" cxnId="{3C556844-7AC8-4BF3-82D1-7A3F0103C3C7}">
      <dgm:prSet/>
      <dgm:spPr/>
      <dgm:t>
        <a:bodyPr/>
        <a:lstStyle/>
        <a:p>
          <a:endParaRPr lang="en-US"/>
        </a:p>
      </dgm:t>
    </dgm:pt>
    <dgm:pt modelId="{2CBCF42C-28F1-4E2E-A836-897FCC4DFC66}" type="sibTrans" cxnId="{3C556844-7AC8-4BF3-82D1-7A3F0103C3C7}">
      <dgm:prSet/>
      <dgm:spPr/>
      <dgm:t>
        <a:bodyPr/>
        <a:lstStyle/>
        <a:p>
          <a:endParaRPr lang="en-US"/>
        </a:p>
      </dgm:t>
    </dgm:pt>
    <dgm:pt modelId="{D26AFC5F-14ED-4A7F-B360-635299D5AED6}">
      <dgm:prSet phldrT="[Text]" custT="1"/>
      <dgm:spPr/>
      <dgm:t>
        <a:bodyPr/>
        <a:lstStyle/>
        <a:p>
          <a:pPr>
            <a:lnSpc>
              <a:spcPct val="70000"/>
            </a:lnSpc>
          </a:pPr>
          <a:r>
            <a:rPr lang="ar-EG" sz="1200" b="1">
              <a:latin typeface="Dubai" panose="020B0503030403030204" pitchFamily="34" charset="-78"/>
              <a:cs typeface="Dubai" panose="020B0503030403030204" pitchFamily="34" charset="-78"/>
            </a:rPr>
            <a:t>إطار سينداي </a:t>
          </a:r>
        </a:p>
        <a:p>
          <a:pPr>
            <a:lnSpc>
              <a:spcPct val="70000"/>
            </a:lnSpc>
          </a:pPr>
          <a:r>
            <a:rPr lang="ar-EG" sz="1200" b="1">
              <a:latin typeface="Dubai" panose="020B0503030403030204" pitchFamily="34" charset="-78"/>
              <a:cs typeface="Dubai" panose="020B0503030403030204" pitchFamily="34" charset="-78"/>
            </a:rPr>
            <a:t>للحد من مخاطر الكوارث</a:t>
          </a:r>
          <a:r>
            <a:rPr lang="en-US" sz="1200" b="1">
              <a:latin typeface="Dubai" panose="020B0503030403030204" pitchFamily="34" charset="-78"/>
              <a:cs typeface="Dubai" panose="020B0503030403030204" pitchFamily="34" charset="-78"/>
            </a:rPr>
            <a:t> </a:t>
          </a:r>
        </a:p>
        <a:p>
          <a:pPr>
            <a:lnSpc>
              <a:spcPct val="70000"/>
            </a:lnSpc>
          </a:pPr>
          <a:r>
            <a:rPr lang="en-US" sz="1200" b="1">
              <a:latin typeface="Dubai" panose="020B0503030403030204" pitchFamily="34" charset="-78"/>
              <a:cs typeface="Dubai" panose="020B0503030403030204" pitchFamily="34" charset="-78"/>
            </a:rPr>
            <a:t>2015-2030 </a:t>
          </a:r>
        </a:p>
      </dgm:t>
    </dgm:pt>
    <dgm:pt modelId="{A51CC7E1-3323-4EBE-876B-7F56C5C4E05F}" type="parTrans" cxnId="{2559AA15-130E-4406-8FAC-0382B155C593}">
      <dgm:prSet/>
      <dgm:spPr/>
      <dgm:t>
        <a:bodyPr/>
        <a:lstStyle/>
        <a:p>
          <a:endParaRPr lang="en-US"/>
        </a:p>
      </dgm:t>
    </dgm:pt>
    <dgm:pt modelId="{C0DBB13A-AF08-46C9-AD4B-E7E8B3F4AC28}" type="sibTrans" cxnId="{2559AA15-130E-4406-8FAC-0382B155C593}">
      <dgm:prSet/>
      <dgm:spPr/>
      <dgm:t>
        <a:bodyPr/>
        <a:lstStyle/>
        <a:p>
          <a:endParaRPr lang="en-US"/>
        </a:p>
      </dgm:t>
    </dgm:pt>
    <dgm:pt modelId="{3606A2E4-2EAF-4CCE-ABB4-61A0312A2307}" type="pres">
      <dgm:prSet presAssocID="{184EBDBB-4C9E-4344-B6BB-4FA0440C6136}" presName="diagram" presStyleCnt="0">
        <dgm:presLayoutVars>
          <dgm:chPref val="1"/>
          <dgm:dir/>
          <dgm:animOne val="branch"/>
          <dgm:animLvl val="lvl"/>
          <dgm:resizeHandles val="exact"/>
        </dgm:presLayoutVars>
      </dgm:prSet>
      <dgm:spPr/>
    </dgm:pt>
    <dgm:pt modelId="{7BA622A8-AEF0-4A51-BF5D-283F7B3B0391}" type="pres">
      <dgm:prSet presAssocID="{02D4C5AE-7CDF-4236-843B-31C8FBB14B9B}" presName="root1" presStyleCnt="0"/>
      <dgm:spPr/>
    </dgm:pt>
    <dgm:pt modelId="{940D711F-4FA8-4690-900D-F460BEE49ECE}" type="pres">
      <dgm:prSet presAssocID="{02D4C5AE-7CDF-4236-843B-31C8FBB14B9B}" presName="LevelOneTextNode" presStyleLbl="node0" presStyleIdx="0" presStyleCnt="1" custScaleY="199867">
        <dgm:presLayoutVars>
          <dgm:chPref val="3"/>
        </dgm:presLayoutVars>
      </dgm:prSet>
      <dgm:spPr/>
    </dgm:pt>
    <dgm:pt modelId="{340FA2B1-B452-4F28-8A08-BCB22FA4415A}" type="pres">
      <dgm:prSet presAssocID="{02D4C5AE-7CDF-4236-843B-31C8FBB14B9B}" presName="level2hierChild" presStyleCnt="0"/>
      <dgm:spPr/>
    </dgm:pt>
    <dgm:pt modelId="{ED1EF01D-9B67-4BBF-8C6A-9914DEADDFDD}" type="pres">
      <dgm:prSet presAssocID="{6D5A4C7A-1E05-4C1D-8796-8CEDB626A78F}" presName="conn2-1" presStyleLbl="parChTrans1D2" presStyleIdx="0" presStyleCnt="1"/>
      <dgm:spPr/>
    </dgm:pt>
    <dgm:pt modelId="{7BE6CFE2-1559-4C07-B649-8BCF90441937}" type="pres">
      <dgm:prSet presAssocID="{6D5A4C7A-1E05-4C1D-8796-8CEDB626A78F}" presName="connTx" presStyleLbl="parChTrans1D2" presStyleIdx="0" presStyleCnt="1"/>
      <dgm:spPr/>
    </dgm:pt>
    <dgm:pt modelId="{CD13E656-8F4C-4280-9D7C-13F92439F674}" type="pres">
      <dgm:prSet presAssocID="{433ECCE0-F9C8-4C24-9F07-CA77DCFD03BF}" presName="root2" presStyleCnt="0"/>
      <dgm:spPr/>
    </dgm:pt>
    <dgm:pt modelId="{E95806AA-07FA-4145-9F5F-E5F1240919BC}" type="pres">
      <dgm:prSet presAssocID="{433ECCE0-F9C8-4C24-9F07-CA77DCFD03BF}" presName="LevelTwoTextNode" presStyleLbl="node2" presStyleIdx="0" presStyleCnt="1" custScaleY="199867">
        <dgm:presLayoutVars>
          <dgm:chPref val="3"/>
        </dgm:presLayoutVars>
      </dgm:prSet>
      <dgm:spPr/>
    </dgm:pt>
    <dgm:pt modelId="{4C5126F0-71E2-496B-841C-7047820D5F93}" type="pres">
      <dgm:prSet presAssocID="{433ECCE0-F9C8-4C24-9F07-CA77DCFD03BF}" presName="level3hierChild" presStyleCnt="0"/>
      <dgm:spPr/>
    </dgm:pt>
    <dgm:pt modelId="{A20474EB-FDB7-4AA2-B2BC-D7E4AF65A521}" type="pres">
      <dgm:prSet presAssocID="{A51CC7E1-3323-4EBE-876B-7F56C5C4E05F}" presName="conn2-1" presStyleLbl="parChTrans1D3" presStyleIdx="0" presStyleCnt="1"/>
      <dgm:spPr/>
    </dgm:pt>
    <dgm:pt modelId="{78DD6FD6-AD51-4244-ACCB-0BA8589AF1A4}" type="pres">
      <dgm:prSet presAssocID="{A51CC7E1-3323-4EBE-876B-7F56C5C4E05F}" presName="connTx" presStyleLbl="parChTrans1D3" presStyleIdx="0" presStyleCnt="1"/>
      <dgm:spPr/>
    </dgm:pt>
    <dgm:pt modelId="{3522B871-F2D3-4834-86B0-90066E3CBECD}" type="pres">
      <dgm:prSet presAssocID="{D26AFC5F-14ED-4A7F-B360-635299D5AED6}" presName="root2" presStyleCnt="0"/>
      <dgm:spPr/>
    </dgm:pt>
    <dgm:pt modelId="{078EF66F-B650-402B-B7D5-860B6F500CB0}" type="pres">
      <dgm:prSet presAssocID="{D26AFC5F-14ED-4A7F-B360-635299D5AED6}" presName="LevelTwoTextNode" presStyleLbl="node3" presStyleIdx="0" presStyleCnt="1" custScaleY="199867">
        <dgm:presLayoutVars>
          <dgm:chPref val="3"/>
        </dgm:presLayoutVars>
      </dgm:prSet>
      <dgm:spPr/>
    </dgm:pt>
    <dgm:pt modelId="{903B6BDC-747C-4CC5-A163-2F179B8ACE47}" type="pres">
      <dgm:prSet presAssocID="{D26AFC5F-14ED-4A7F-B360-635299D5AED6}" presName="level3hierChild" presStyleCnt="0"/>
      <dgm:spPr/>
    </dgm:pt>
  </dgm:ptLst>
  <dgm:cxnLst>
    <dgm:cxn modelId="{0F89EB0B-04BC-42B7-B888-48026B60F2A5}" type="presOf" srcId="{184EBDBB-4C9E-4344-B6BB-4FA0440C6136}" destId="{3606A2E4-2EAF-4CCE-ABB4-61A0312A2307}" srcOrd="0" destOrd="0" presId="urn:microsoft.com/office/officeart/2005/8/layout/hierarchy2#1"/>
    <dgm:cxn modelId="{2559AA15-130E-4406-8FAC-0382B155C593}" srcId="{433ECCE0-F9C8-4C24-9F07-CA77DCFD03BF}" destId="{D26AFC5F-14ED-4A7F-B360-635299D5AED6}" srcOrd="0" destOrd="0" parTransId="{A51CC7E1-3323-4EBE-876B-7F56C5C4E05F}" sibTransId="{C0DBB13A-AF08-46C9-AD4B-E7E8B3F4AC28}"/>
    <dgm:cxn modelId="{B040C63A-00DE-4EF9-BB83-B89D944EDCCF}" type="presOf" srcId="{6D5A4C7A-1E05-4C1D-8796-8CEDB626A78F}" destId="{ED1EF01D-9B67-4BBF-8C6A-9914DEADDFDD}" srcOrd="0" destOrd="0" presId="urn:microsoft.com/office/officeart/2005/8/layout/hierarchy2#1"/>
    <dgm:cxn modelId="{511DBC3C-2DEA-4CAB-A04C-ABBE22F47356}" type="presOf" srcId="{433ECCE0-F9C8-4C24-9F07-CA77DCFD03BF}" destId="{E95806AA-07FA-4145-9F5F-E5F1240919BC}" srcOrd="0" destOrd="0" presId="urn:microsoft.com/office/officeart/2005/8/layout/hierarchy2#1"/>
    <dgm:cxn modelId="{3C556844-7AC8-4BF3-82D1-7A3F0103C3C7}" srcId="{02D4C5AE-7CDF-4236-843B-31C8FBB14B9B}" destId="{433ECCE0-F9C8-4C24-9F07-CA77DCFD03BF}" srcOrd="0" destOrd="0" parTransId="{6D5A4C7A-1E05-4C1D-8796-8CEDB626A78F}" sibTransId="{2CBCF42C-28F1-4E2E-A836-897FCC4DFC66}"/>
    <dgm:cxn modelId="{89FAA873-BFF2-478D-949B-827E2EAE14E2}" type="presOf" srcId="{02D4C5AE-7CDF-4236-843B-31C8FBB14B9B}" destId="{940D711F-4FA8-4690-900D-F460BEE49ECE}" srcOrd="0" destOrd="0" presId="urn:microsoft.com/office/officeart/2005/8/layout/hierarchy2#1"/>
    <dgm:cxn modelId="{2706A6A9-0814-4623-9384-B2F6546214AD}" type="presOf" srcId="{D26AFC5F-14ED-4A7F-B360-635299D5AED6}" destId="{078EF66F-B650-402B-B7D5-860B6F500CB0}" srcOrd="0" destOrd="0" presId="urn:microsoft.com/office/officeart/2005/8/layout/hierarchy2#1"/>
    <dgm:cxn modelId="{713D1BAE-3C38-46D5-8B38-6FE70670FF67}" srcId="{184EBDBB-4C9E-4344-B6BB-4FA0440C6136}" destId="{02D4C5AE-7CDF-4236-843B-31C8FBB14B9B}" srcOrd="0" destOrd="0" parTransId="{671A9978-292A-4A8C-B4B9-C45B029E2C73}" sibTransId="{CC9ED4BA-A6FC-4BDD-98D8-A1E6C3152AC2}"/>
    <dgm:cxn modelId="{207DD3B4-6808-43B2-9F63-C02085F49C53}" type="presOf" srcId="{6D5A4C7A-1E05-4C1D-8796-8CEDB626A78F}" destId="{7BE6CFE2-1559-4C07-B649-8BCF90441937}" srcOrd="1" destOrd="0" presId="urn:microsoft.com/office/officeart/2005/8/layout/hierarchy2#1"/>
    <dgm:cxn modelId="{97CAD9B7-D04A-4DC7-9F0F-1C69EF6FB366}" type="presOf" srcId="{A51CC7E1-3323-4EBE-876B-7F56C5C4E05F}" destId="{A20474EB-FDB7-4AA2-B2BC-D7E4AF65A521}" srcOrd="0" destOrd="0" presId="urn:microsoft.com/office/officeart/2005/8/layout/hierarchy2#1"/>
    <dgm:cxn modelId="{A39D58E7-76FE-42AD-A114-9AA6EEF227C9}" type="presOf" srcId="{A51CC7E1-3323-4EBE-876B-7F56C5C4E05F}" destId="{78DD6FD6-AD51-4244-ACCB-0BA8589AF1A4}" srcOrd="1" destOrd="0" presId="urn:microsoft.com/office/officeart/2005/8/layout/hierarchy2#1"/>
    <dgm:cxn modelId="{550D5952-D24F-4B7A-AFE2-92638BD6D4A6}" type="presParOf" srcId="{3606A2E4-2EAF-4CCE-ABB4-61A0312A2307}" destId="{7BA622A8-AEF0-4A51-BF5D-283F7B3B0391}" srcOrd="0" destOrd="0" presId="urn:microsoft.com/office/officeart/2005/8/layout/hierarchy2#1"/>
    <dgm:cxn modelId="{5099ADFE-A1BF-458C-B2F3-15076892DD88}" type="presParOf" srcId="{7BA622A8-AEF0-4A51-BF5D-283F7B3B0391}" destId="{940D711F-4FA8-4690-900D-F460BEE49ECE}" srcOrd="0" destOrd="0" presId="urn:microsoft.com/office/officeart/2005/8/layout/hierarchy2#1"/>
    <dgm:cxn modelId="{CB9DB43A-BAA0-4651-A496-046C63BCBD9C}" type="presParOf" srcId="{7BA622A8-AEF0-4A51-BF5D-283F7B3B0391}" destId="{340FA2B1-B452-4F28-8A08-BCB22FA4415A}" srcOrd="1" destOrd="0" presId="urn:microsoft.com/office/officeart/2005/8/layout/hierarchy2#1"/>
    <dgm:cxn modelId="{3364E597-BC15-45C5-A1A6-10C2C65D7472}" type="presParOf" srcId="{340FA2B1-B452-4F28-8A08-BCB22FA4415A}" destId="{ED1EF01D-9B67-4BBF-8C6A-9914DEADDFDD}" srcOrd="0" destOrd="0" presId="urn:microsoft.com/office/officeart/2005/8/layout/hierarchy2#1"/>
    <dgm:cxn modelId="{87636600-003E-4A30-BC34-F7259A0D22C3}" type="presParOf" srcId="{ED1EF01D-9B67-4BBF-8C6A-9914DEADDFDD}" destId="{7BE6CFE2-1559-4C07-B649-8BCF90441937}" srcOrd="0" destOrd="0" presId="urn:microsoft.com/office/officeart/2005/8/layout/hierarchy2#1"/>
    <dgm:cxn modelId="{B4480A46-3799-4F48-9E60-FFF748820CBF}" type="presParOf" srcId="{340FA2B1-B452-4F28-8A08-BCB22FA4415A}" destId="{CD13E656-8F4C-4280-9D7C-13F92439F674}" srcOrd="1" destOrd="0" presId="urn:microsoft.com/office/officeart/2005/8/layout/hierarchy2#1"/>
    <dgm:cxn modelId="{8557E458-FB13-457F-9FB3-99A02306EB5E}" type="presParOf" srcId="{CD13E656-8F4C-4280-9D7C-13F92439F674}" destId="{E95806AA-07FA-4145-9F5F-E5F1240919BC}" srcOrd="0" destOrd="0" presId="urn:microsoft.com/office/officeart/2005/8/layout/hierarchy2#1"/>
    <dgm:cxn modelId="{4C587EE0-A2AD-430D-8ECE-969D2032FF32}" type="presParOf" srcId="{CD13E656-8F4C-4280-9D7C-13F92439F674}" destId="{4C5126F0-71E2-496B-841C-7047820D5F93}" srcOrd="1" destOrd="0" presId="urn:microsoft.com/office/officeart/2005/8/layout/hierarchy2#1"/>
    <dgm:cxn modelId="{473BCE46-7556-4422-8660-DDC44FDDB1DF}" type="presParOf" srcId="{4C5126F0-71E2-496B-841C-7047820D5F93}" destId="{A20474EB-FDB7-4AA2-B2BC-D7E4AF65A521}" srcOrd="0" destOrd="0" presId="urn:microsoft.com/office/officeart/2005/8/layout/hierarchy2#1"/>
    <dgm:cxn modelId="{51424641-E0EF-4C17-A2AF-B7F7F47584E3}" type="presParOf" srcId="{A20474EB-FDB7-4AA2-B2BC-D7E4AF65A521}" destId="{78DD6FD6-AD51-4244-ACCB-0BA8589AF1A4}" srcOrd="0" destOrd="0" presId="urn:microsoft.com/office/officeart/2005/8/layout/hierarchy2#1"/>
    <dgm:cxn modelId="{9B099C01-741C-435B-9348-8E4E190D6151}" type="presParOf" srcId="{4C5126F0-71E2-496B-841C-7047820D5F93}" destId="{3522B871-F2D3-4834-86B0-90066E3CBECD}" srcOrd="1" destOrd="0" presId="urn:microsoft.com/office/officeart/2005/8/layout/hierarchy2#1"/>
    <dgm:cxn modelId="{C9BDF1FC-6467-4D2E-94BB-8933123B41F1}" type="presParOf" srcId="{3522B871-F2D3-4834-86B0-90066E3CBECD}" destId="{078EF66F-B650-402B-B7D5-860B6F500CB0}" srcOrd="0" destOrd="0" presId="urn:microsoft.com/office/officeart/2005/8/layout/hierarchy2#1"/>
    <dgm:cxn modelId="{CCC282E8-FD3C-42A7-8C68-27C37853FE8D}" type="presParOf" srcId="{3522B871-F2D3-4834-86B0-90066E3CBECD}" destId="{903B6BDC-747C-4CC5-A163-2F179B8ACE47}" srcOrd="1" destOrd="0" presId="urn:microsoft.com/office/officeart/2005/8/layout/hierarchy2#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D711F-4FA8-4690-900D-F460BEE49ECE}">
      <dsp:nvSpPr>
        <dsp:cNvPr id="0" name=""/>
        <dsp:cNvSpPr/>
      </dsp:nvSpPr>
      <dsp:spPr>
        <a:xfrm>
          <a:off x="6088" y="239791"/>
          <a:ext cx="1548367" cy="1547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معيار ممارسة </a:t>
          </a:r>
          <a:r>
            <a:rPr lang="en-US" sz="1200" b="1" kern="1200">
              <a:latin typeface="Dubai" panose="020B0503030403030204" pitchFamily="34" charset="-78"/>
              <a:cs typeface="Dubai" panose="020B0503030403030204" pitchFamily="34" charset="-78"/>
            </a:rPr>
            <a:t>NDIS</a:t>
          </a:r>
          <a:endParaRPr lang="ar-EG" sz="1200" b="1" kern="1200">
            <a:latin typeface="Dubai" panose="020B0503030403030204" pitchFamily="34" charset="-78"/>
            <a:cs typeface="Dubai" panose="020B0503030403030204" pitchFamily="34" charset="-78"/>
          </a:endParaRPr>
        </a:p>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لإدارة الطوارئ والكوارث</a:t>
          </a:r>
          <a:endParaRPr lang="en-US" sz="1200" b="1" kern="1200">
            <a:latin typeface="Dubai" panose="020B0503030403030204" pitchFamily="34" charset="-78"/>
            <a:cs typeface="Dubai" panose="020B0503030403030204" pitchFamily="34" charset="-78"/>
          </a:endParaRPr>
        </a:p>
        <a:p>
          <a:pPr marL="0" lvl="0" indent="0" algn="ctr" defTabSz="533400">
            <a:lnSpc>
              <a:spcPct val="70000"/>
            </a:lnSpc>
            <a:spcBef>
              <a:spcPct val="0"/>
            </a:spcBef>
            <a:spcAft>
              <a:spcPct val="35000"/>
            </a:spcAft>
            <a:buNone/>
          </a:pPr>
          <a:endParaRPr lang="en-US" sz="500" b="1" kern="1200">
            <a:latin typeface="Dubai" panose="020B0503030403030204" pitchFamily="34" charset="-78"/>
            <a:cs typeface="Dubai" panose="020B0503030403030204" pitchFamily="34" charset="-78"/>
          </a:endParaRPr>
        </a:p>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التزامات صحة </a:t>
          </a:r>
          <a:br>
            <a:rPr lang="en-US" sz="1200" b="1" kern="1200">
              <a:latin typeface="Dubai" panose="020B0503030403030204" pitchFamily="34" charset="-78"/>
              <a:cs typeface="Dubai" panose="020B0503030403030204" pitchFamily="34" charset="-78"/>
            </a:rPr>
          </a:br>
          <a:r>
            <a:rPr lang="ar-EG" sz="1200" b="1" kern="1200">
              <a:latin typeface="Dubai" panose="020B0503030403030204" pitchFamily="34" charset="-78"/>
              <a:cs typeface="Dubai" panose="020B0503030403030204" pitchFamily="34" charset="-78"/>
            </a:rPr>
            <a:t>وسلامة العمل</a:t>
          </a:r>
          <a:endParaRPr lang="en-US" sz="1200" b="1" kern="1200">
            <a:latin typeface="Dubai" panose="020B0503030403030204" pitchFamily="34" charset="-78"/>
            <a:cs typeface="Dubai" panose="020B0503030403030204" pitchFamily="34" charset="-78"/>
          </a:endParaRPr>
        </a:p>
      </dsp:txBody>
      <dsp:txXfrm>
        <a:off x="51408" y="285111"/>
        <a:ext cx="1457727" cy="1456697"/>
      </dsp:txXfrm>
    </dsp:sp>
    <dsp:sp modelId="{ED1EF01D-9B67-4BBF-8C6A-9914DEADDFDD}">
      <dsp:nvSpPr>
        <dsp:cNvPr id="0" name=""/>
        <dsp:cNvSpPr/>
      </dsp:nvSpPr>
      <dsp:spPr>
        <a:xfrm>
          <a:off x="1554456" y="979084"/>
          <a:ext cx="619347" cy="68751"/>
        </a:xfrm>
        <a:custGeom>
          <a:avLst/>
          <a:gdLst/>
          <a:ahLst/>
          <a:cxnLst/>
          <a:rect l="0" t="0" r="0" b="0"/>
          <a:pathLst>
            <a:path>
              <a:moveTo>
                <a:pt x="0" y="34375"/>
              </a:moveTo>
              <a:lnTo>
                <a:pt x="619347" y="343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48646" y="997976"/>
        <a:ext cx="30967" cy="30967"/>
      </dsp:txXfrm>
    </dsp:sp>
    <dsp:sp modelId="{E95806AA-07FA-4145-9F5F-E5F1240919BC}">
      <dsp:nvSpPr>
        <dsp:cNvPr id="0" name=""/>
        <dsp:cNvSpPr/>
      </dsp:nvSpPr>
      <dsp:spPr>
        <a:xfrm>
          <a:off x="2173803" y="239791"/>
          <a:ext cx="1548367" cy="1547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الإطار الوطني</a:t>
          </a:r>
        </a:p>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للحد من مخاطر الكوارث</a:t>
          </a:r>
          <a:endParaRPr lang="en-US" sz="1200" b="1" kern="1200">
            <a:latin typeface="Dubai" panose="020B0503030403030204" pitchFamily="34" charset="-78"/>
            <a:cs typeface="Dubai" panose="020B0503030403030204" pitchFamily="34" charset="-78"/>
          </a:endParaRPr>
        </a:p>
      </dsp:txBody>
      <dsp:txXfrm>
        <a:off x="2219123" y="285111"/>
        <a:ext cx="1457727" cy="1456697"/>
      </dsp:txXfrm>
    </dsp:sp>
    <dsp:sp modelId="{A20474EB-FDB7-4AA2-B2BC-D7E4AF65A521}">
      <dsp:nvSpPr>
        <dsp:cNvPr id="0" name=""/>
        <dsp:cNvSpPr/>
      </dsp:nvSpPr>
      <dsp:spPr>
        <a:xfrm>
          <a:off x="3722171" y="979084"/>
          <a:ext cx="619347" cy="68751"/>
        </a:xfrm>
        <a:custGeom>
          <a:avLst/>
          <a:gdLst/>
          <a:ahLst/>
          <a:cxnLst/>
          <a:rect l="0" t="0" r="0" b="0"/>
          <a:pathLst>
            <a:path>
              <a:moveTo>
                <a:pt x="0" y="34375"/>
              </a:moveTo>
              <a:lnTo>
                <a:pt x="619347" y="343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16361" y="997976"/>
        <a:ext cx="30967" cy="30967"/>
      </dsp:txXfrm>
    </dsp:sp>
    <dsp:sp modelId="{078EF66F-B650-402B-B7D5-860B6F500CB0}">
      <dsp:nvSpPr>
        <dsp:cNvPr id="0" name=""/>
        <dsp:cNvSpPr/>
      </dsp:nvSpPr>
      <dsp:spPr>
        <a:xfrm>
          <a:off x="4341518" y="239791"/>
          <a:ext cx="1548367" cy="15473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إطار سينداي </a:t>
          </a:r>
        </a:p>
        <a:p>
          <a:pPr marL="0" lvl="0" indent="0" algn="ctr" defTabSz="533400">
            <a:lnSpc>
              <a:spcPct val="70000"/>
            </a:lnSpc>
            <a:spcBef>
              <a:spcPct val="0"/>
            </a:spcBef>
            <a:spcAft>
              <a:spcPct val="35000"/>
            </a:spcAft>
            <a:buNone/>
          </a:pPr>
          <a:r>
            <a:rPr lang="ar-EG" sz="1200" b="1" kern="1200">
              <a:latin typeface="Dubai" panose="020B0503030403030204" pitchFamily="34" charset="-78"/>
              <a:cs typeface="Dubai" panose="020B0503030403030204" pitchFamily="34" charset="-78"/>
            </a:rPr>
            <a:t>للحد من مخاطر الكوارث</a:t>
          </a:r>
          <a:r>
            <a:rPr lang="en-US" sz="1200" b="1" kern="1200">
              <a:latin typeface="Dubai" panose="020B0503030403030204" pitchFamily="34" charset="-78"/>
              <a:cs typeface="Dubai" panose="020B0503030403030204" pitchFamily="34" charset="-78"/>
            </a:rPr>
            <a:t> </a:t>
          </a:r>
        </a:p>
        <a:p>
          <a:pPr marL="0" lvl="0" indent="0" algn="ctr" defTabSz="533400">
            <a:lnSpc>
              <a:spcPct val="70000"/>
            </a:lnSpc>
            <a:spcBef>
              <a:spcPct val="0"/>
            </a:spcBef>
            <a:spcAft>
              <a:spcPct val="35000"/>
            </a:spcAft>
            <a:buNone/>
          </a:pPr>
          <a:r>
            <a:rPr lang="en-US" sz="1200" b="1" kern="1200">
              <a:latin typeface="Dubai" panose="020B0503030403030204" pitchFamily="34" charset="-78"/>
              <a:cs typeface="Dubai" panose="020B0503030403030204" pitchFamily="34" charset="-78"/>
            </a:rPr>
            <a:t>2015-2030 </a:t>
          </a:r>
        </a:p>
      </dsp:txBody>
      <dsp:txXfrm>
        <a:off x="4386838" y="285111"/>
        <a:ext cx="1457727" cy="14566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522</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الحد من مخاطر الكوارث الشامل للإعاقة ومعيار ممارسة NDIS</vt:lpstr>
      <vt:lpstr>    التزاماتنا - مزودو NDIS</vt:lpstr>
      <vt:lpstr>    تطبيق DIDRR ومعيار الممارسة</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5</cp:revision>
  <dcterms:created xsi:type="dcterms:W3CDTF">2024-06-05T09:35:00Z</dcterms:created>
  <dcterms:modified xsi:type="dcterms:W3CDTF">2024-06-06T09:23:00Z</dcterms:modified>
</cp:coreProperties>
</file>