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A7E10" w14:textId="43654820" w:rsidR="00974FCC" w:rsidRPr="00DA446C" w:rsidRDefault="00547570" w:rsidP="009B0352">
      <w:pPr>
        <w:pStyle w:val="Heading1"/>
        <w:spacing w:after="200" w:line="240" w:lineRule="auto"/>
        <w:rPr>
          <w:rFonts w:cs="Noto Sans"/>
          <w:lang w:val="el"/>
        </w:rPr>
      </w:pPr>
      <w:r w:rsidRPr="00DA446C">
        <w:rPr>
          <w:rFonts w:ascii="Noto Sans" w:hAnsi="Noto Sans" w:cs="Noto Sans"/>
          <w:lang w:val="el"/>
        </w:rPr>
        <w:t>Συμπεριληπτική Μείωση Κινδύνου Καταστροφών για Άτομα με Αναπηρία και το Πρότυπο Πρακτικής του NDIS</w:t>
      </w:r>
    </w:p>
    <w:p w14:paraId="1A4332FC" w14:textId="77777777" w:rsidR="006419C5" w:rsidRPr="00DA446C" w:rsidRDefault="00547570" w:rsidP="0091047D">
      <w:pPr>
        <w:spacing w:after="120" w:line="240" w:lineRule="auto"/>
        <w:rPr>
          <w:rFonts w:ascii="Noto Sans" w:hAnsi="Noto Sans" w:cs="Noto Sans"/>
          <w:b/>
          <w:bCs/>
          <w:lang w:val="el-GR"/>
        </w:rPr>
      </w:pPr>
      <w:r w:rsidRPr="00DA446C">
        <w:rPr>
          <w:rFonts w:ascii="Noto Sans" w:hAnsi="Noto Sans" w:cs="Noto Sans"/>
          <w:b/>
          <w:bCs/>
          <w:lang w:val="el"/>
        </w:rPr>
        <w:t>Η Συμπεριληπτική Μείωση Κινδύνου Καταστροφών για Άτομα με Αναπηρία (DIDRR) αναφέρεται στη διαδικασία ελαχιστοποίησης των κινδύνων από καταστροφές για τα άτομα με αναπηρίες, εξασφαλίζοντας την ασφάλεια, την ανθεκτικότητα και την πραγματική συμμετοχή τους σε όλα τα στάδια της διαχείρισης καταστροφών.</w:t>
      </w:r>
    </w:p>
    <w:p w14:paraId="1F07BB1A" w14:textId="70331077" w:rsidR="00DB2622" w:rsidRPr="00DA446C" w:rsidRDefault="00547570" w:rsidP="00DA446C">
      <w:pPr>
        <w:spacing w:after="120" w:line="240" w:lineRule="auto"/>
        <w:rPr>
          <w:rFonts w:ascii="Noto Sans" w:hAnsi="Noto Sans" w:cs="Noto Sans"/>
          <w:lang w:val="el-GR"/>
        </w:rPr>
      </w:pPr>
      <w:r w:rsidRPr="00DA446C">
        <w:rPr>
          <w:rFonts w:ascii="Noto Sans" w:hAnsi="Noto Sans" w:cs="Noto Sans"/>
          <w:lang w:val="el"/>
        </w:rPr>
        <w:t>Η DIDRR αναγνωρίζει ότι τα άτομα με αναπηρίες επηρεάζονται δυσανάλογα από καταστροφές και καταστάσεις έκτακτης ανάγκης. Υιοθετώντας προσεγγίσεις χωρίς αποκλεισμούς, η DIDRR στοχεύει στη μείωση ευαλωτοτήτων, την ενίσχυση της ανθεκτικότητας και την προώθηση των δικαιωμάτων και της ευημερίας των ατόμων με αναπηρίες.</w:t>
      </w:r>
    </w:p>
    <w:p w14:paraId="06A187DA" w14:textId="77777777" w:rsidR="00450CC3" w:rsidRPr="00DA446C" w:rsidRDefault="00547570" w:rsidP="00DA446C">
      <w:pPr>
        <w:pStyle w:val="Heading2"/>
        <w:spacing w:line="240" w:lineRule="auto"/>
        <w:rPr>
          <w:rFonts w:ascii="Noto Sans" w:hAnsi="Noto Sans" w:cs="Noto Sans"/>
          <w:lang w:val="el-GR"/>
        </w:rPr>
      </w:pPr>
      <w:r w:rsidRPr="00DA446C">
        <w:rPr>
          <w:rFonts w:ascii="Noto Sans" w:hAnsi="Noto Sans" w:cs="Noto Sans"/>
          <w:lang w:val="el"/>
        </w:rPr>
        <w:t>Οι υποχρεώσεις μας στους Παρόχους NDIS</w:t>
      </w:r>
    </w:p>
    <w:p w14:paraId="7DE55A88" w14:textId="106C68C3" w:rsidR="00246298" w:rsidRPr="00DA446C" w:rsidRDefault="00547570" w:rsidP="00DA446C">
      <w:pPr>
        <w:spacing w:after="120" w:line="240" w:lineRule="auto"/>
        <w:rPr>
          <w:rFonts w:ascii="Noto Sans" w:hAnsi="Noto Sans" w:cs="Noto Sans"/>
          <w:lang w:val="el-GR"/>
        </w:rPr>
      </w:pPr>
      <w:r w:rsidRPr="00DA446C">
        <w:rPr>
          <w:rFonts w:ascii="Noto Sans" w:hAnsi="Noto Sans" w:cs="Noto Sans"/>
          <w:lang w:val="el"/>
        </w:rPr>
        <w:t>Οι υποχρεώσεις της Αυστραλίας για τη διαχείριση των κινδύνων που προκύπτουν από καταστάσεις έκτακτης ανάγκης και καταστροφές για τα άτομα με αναπηρία καθορίζονται σε μια σειρά διεθνών και τοπικών πλαισίων. Οι πάροχοι NDIS έχουν την υποχρέωση να διασφαλίζουν ότι οι πρακτικές τους αντικατοπτρίζουν τις αρχές που ενσωματώνονται σε αυτά τα έγγραφα, καθώς και να πληρούν το Πρότυπο Πρακτικής NDIS για τη Διαχείριση Έκτακτης Ανάγκης και Καταστροφών.</w:t>
      </w:r>
    </w:p>
    <w:p w14:paraId="62CF1747" w14:textId="030227ED" w:rsidR="002C54BB" w:rsidRDefault="00DA446C" w:rsidP="002C54BB">
      <w:pPr>
        <w:spacing w:after="120" w:line="360" w:lineRule="auto"/>
        <w:jc w:val="center"/>
        <w:rPr>
          <w:rFonts w:ascii="Noto Sans" w:hAnsi="Noto Sans" w:cs="Noto Sans"/>
        </w:rPr>
      </w:pPr>
      <w:r w:rsidRPr="00DA446C">
        <w:rPr>
          <w:rFonts w:ascii="Noto Sans" w:hAnsi="Noto Sans" w:cs="Noto Sans"/>
          <w:noProof/>
        </w:rPr>
        <mc:AlternateContent>
          <mc:Choice Requires="wps">
            <w:drawing>
              <wp:inline distT="0" distB="0" distL="0" distR="0" wp14:anchorId="70967906" wp14:editId="64EA8B8C">
                <wp:extent cx="5848350" cy="612000"/>
                <wp:effectExtent l="0" t="0" r="19050" b="17145"/>
                <wp:docPr id="1155908873" name="Rectangle: Rounded Corners 3" descr="Σύμβαση των Ηνωμένων Εθνών για τα Δικαιώματα των Ατόμων με Αναπηρία&#10;"/>
                <wp:cNvGraphicFramePr/>
                <a:graphic xmlns:a="http://schemas.openxmlformats.org/drawingml/2006/main">
                  <a:graphicData uri="http://schemas.microsoft.com/office/word/2010/wordprocessingShape">
                    <wps:wsp>
                      <wps:cNvSpPr/>
                      <wps:spPr>
                        <a:xfrm>
                          <a:off x="0" y="0"/>
                          <a:ext cx="5848350" cy="612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B442C7" w14:textId="2C52BCE5" w:rsidR="002C54BB" w:rsidRPr="00DA446C" w:rsidRDefault="00547570" w:rsidP="00DA446C">
                            <w:pPr>
                              <w:spacing w:line="240" w:lineRule="auto"/>
                              <w:jc w:val="center"/>
                              <w:rPr>
                                <w:rFonts w:ascii="Noto Sans" w:hAnsi="Noto Sans" w:cs="Noto Sans"/>
                                <w:b/>
                                <w:bCs/>
                                <w:sz w:val="28"/>
                                <w:szCs w:val="28"/>
                                <w:lang w:val="el-GR"/>
                              </w:rPr>
                            </w:pPr>
                            <w:r w:rsidRPr="00DA446C">
                              <w:rPr>
                                <w:rFonts w:ascii="Noto Sans" w:hAnsi="Noto Sans" w:cs="Noto Sans"/>
                                <w:b/>
                                <w:bCs/>
                                <w:sz w:val="28"/>
                                <w:szCs w:val="28"/>
                                <w:lang w:val="el"/>
                              </w:rPr>
                              <w:t xml:space="preserve">Σύμβαση των Ηνωμένων Εθνών για τα Δικαιώματα των </w:t>
                            </w:r>
                            <w:r w:rsidR="00DA446C" w:rsidRPr="00DA446C">
                              <w:rPr>
                                <w:rFonts w:ascii="Noto Sans" w:hAnsi="Noto Sans" w:cs="Noto Sans"/>
                                <w:b/>
                                <w:bCs/>
                                <w:sz w:val="28"/>
                                <w:szCs w:val="28"/>
                                <w:lang w:val="el"/>
                              </w:rPr>
                              <w:br/>
                            </w:r>
                            <w:r w:rsidRPr="00DA446C">
                              <w:rPr>
                                <w:rFonts w:ascii="Noto Sans" w:hAnsi="Noto Sans" w:cs="Noto Sans"/>
                                <w:b/>
                                <w:bCs/>
                                <w:sz w:val="28"/>
                                <w:szCs w:val="28"/>
                                <w:lang w:val="el"/>
                              </w:rPr>
                              <w:t>Ατόμων με Αναπηρία</w:t>
                            </w:r>
                          </w:p>
                          <w:p w14:paraId="1D728B3C" w14:textId="77777777" w:rsidR="002C54BB" w:rsidRPr="00DA446C" w:rsidRDefault="002C54BB" w:rsidP="00DA446C">
                            <w:pPr>
                              <w:spacing w:line="240" w:lineRule="auto"/>
                              <w:jc w:val="center"/>
                              <w:rPr>
                                <w:rFonts w:ascii="Noto Sans" w:hAnsi="Noto Sans" w:cs="Noto Sans"/>
                                <w:lang w:val="el-GR"/>
                              </w:rPr>
                            </w:pP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oundrect w14:anchorId="70967906" id="Rectangle: Rounded Corners 3" o:spid="_x0000_s1026" alt="Σύμβαση των Ηνωμένων Εθνών για τα Δικαιώματα των Ατόμων με Αναπηρία&#10;" style="width:460.5pt;height:4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" fillcolor="#156082 [3204]" strokecolor="#030e13 [484]" strokeweight="1pt">
                <v:stroke joinstyle="miter"/>
                <v:textbox inset="1mm,.5mm,1mm,.5mm">
                  <w:txbxContent>
                    <w:p w14:paraId="0BB442C7" w14:textId="2C52BCE5" w:rsidR="002C54BB" w:rsidRPr="00DA446C" w:rsidRDefault="00547570" w:rsidP="00DA446C">
                      <w:pPr>
                        <w:spacing w:line="240" w:lineRule="auto"/>
                        <w:jc w:val="center"/>
                        <w:rPr>
                          <w:rFonts w:ascii="Noto Sans" w:hAnsi="Noto Sans" w:cs="Noto Sans"/>
                          <w:b/>
                          <w:bCs/>
                          <w:sz w:val="28"/>
                          <w:szCs w:val="28"/>
                          <w:lang w:val="el-GR"/>
                        </w:rPr>
                      </w:pPr>
                      <w:r w:rsidRPr="00DA446C">
                        <w:rPr>
                          <w:rFonts w:ascii="Noto Sans" w:hAnsi="Noto Sans" w:cs="Noto Sans"/>
                          <w:b/>
                          <w:bCs/>
                          <w:sz w:val="28"/>
                          <w:szCs w:val="28"/>
                          <w:lang w:val="el"/>
                        </w:rPr>
                        <w:t xml:space="preserve">Σύμβαση των Ηνωμένων Εθνών για τα Δικαιώματα των </w:t>
                      </w:r>
                      <w:r w:rsidR="00DA446C" w:rsidRPr="00DA446C">
                        <w:rPr>
                          <w:rFonts w:ascii="Noto Sans" w:hAnsi="Noto Sans" w:cs="Noto Sans"/>
                          <w:b/>
                          <w:bCs/>
                          <w:sz w:val="28"/>
                          <w:szCs w:val="28"/>
                          <w:lang w:val="el"/>
                        </w:rPr>
                        <w:br/>
                      </w:r>
                      <w:r w:rsidRPr="00DA446C">
                        <w:rPr>
                          <w:rFonts w:ascii="Noto Sans" w:hAnsi="Noto Sans" w:cs="Noto Sans"/>
                          <w:b/>
                          <w:bCs/>
                          <w:sz w:val="28"/>
                          <w:szCs w:val="28"/>
                          <w:lang w:val="el"/>
                        </w:rPr>
                        <w:t>Ατόμων με Αναπηρία</w:t>
                      </w:r>
                    </w:p>
                    <w:p w14:paraId="1D728B3C" w14:textId="77777777" w:rsidR="002C54BB" w:rsidRPr="00DA446C" w:rsidRDefault="002C54BB" w:rsidP="00DA446C">
                      <w:pPr>
                        <w:spacing w:line="240" w:lineRule="auto"/>
                        <w:jc w:val="center"/>
                        <w:rPr>
                          <w:rFonts w:ascii="Noto Sans" w:hAnsi="Noto Sans" w:cs="Noto Sans"/>
                          <w:lang w:val="el-GR"/>
                        </w:rPr>
                      </w:pPr>
                    </w:p>
                  </w:txbxContent>
                </v:textbox>
                <w10:anchorlock/>
              </v:roundrect>
            </w:pict>
          </mc:Fallback>
        </mc:AlternateContent>
      </w:r>
      <w:r w:rsidR="00547570" w:rsidRPr="00DA446C">
        <w:rPr>
          <w:rFonts w:ascii="Noto Sans" w:hAnsi="Noto Sans" w:cs="Noto Sans"/>
          <w:noProof/>
        </w:rPr>
        <w:drawing>
          <wp:inline distT="0" distB="0" distL="0" distR="0" wp14:anchorId="412B2E5A" wp14:editId="65BDC022">
            <wp:extent cx="5791200" cy="1676400"/>
            <wp:effectExtent l="0" t="0" r="57150" b="0"/>
            <wp:docPr id="623916845" name="Diagram 1" descr="Σύμβαση των Ηνωμένων Εθνών για τα Δικαιώματα των Ατόμων με Αναπηρία&#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34A5F3" w14:textId="0FDFA197" w:rsidR="00ED719B" w:rsidRPr="00ED719B" w:rsidRDefault="00ED719B" w:rsidP="002C54BB">
      <w:pPr>
        <w:spacing w:after="120" w:line="360" w:lineRule="auto"/>
        <w:jc w:val="center"/>
        <w:rPr>
          <w:rFonts w:ascii="Noto Sans" w:hAnsi="Noto Sans" w:cs="Noto Sans"/>
        </w:rPr>
      </w:pPr>
      <w:r w:rsidRPr="00ED719B">
        <w:rPr>
          <w:rFonts w:ascii="Noto Sans" w:eastAsiaTheme="minorEastAsia" w:hAnsi="Noto Sans" w:cs="Noto Sans"/>
          <w:noProof/>
          <w:lang w:val="en-ID" w:eastAsia="en-ID"/>
        </w:rPr>
        <mc:AlternateContent>
          <mc:Choice Requires="wps">
            <w:drawing>
              <wp:inline distT="0" distB="0" distL="0" distR="0" wp14:anchorId="1146E770" wp14:editId="1E5A5F45">
                <wp:extent cx="5783580" cy="571500"/>
                <wp:effectExtent l="0" t="0" r="26670" b="19050"/>
                <wp:docPr id="462198693" name="Rectangle: Rounded Corners 3"/>
                <wp:cNvGraphicFramePr/>
                <a:graphic xmlns:a="http://schemas.openxmlformats.org/drawingml/2006/main">
                  <a:graphicData uri="http://schemas.microsoft.com/office/word/2010/wordprocessingShape">
                    <wps:wsp>
                      <wps:cNvSpPr/>
                      <wps:spPr>
                        <a:xfrm>
                          <a:off x="0" y="0"/>
                          <a:ext cx="5783580" cy="571500"/>
                        </a:xfrm>
                        <a:prstGeom prst="roundRect">
                          <a:avLst/>
                        </a:prstGeom>
                        <a:solidFill>
                          <a:srgbClr val="156082"/>
                        </a:solidFill>
                        <a:ln w="12700" cap="flat" cmpd="sng" algn="ctr">
                          <a:solidFill>
                            <a:srgbClr val="156082">
                              <a:shade val="15000"/>
                            </a:srgbClr>
                          </a:solidFill>
                          <a:prstDash val="solid"/>
                          <a:miter lim="800000"/>
                        </a:ln>
                        <a:effectLst/>
                      </wps:spPr>
                      <wps:txbx>
                        <w:txbxContent>
                          <w:p w14:paraId="19CF3BDD" w14:textId="77777777" w:rsidR="00ED719B" w:rsidRPr="00ED719B" w:rsidRDefault="00ED719B" w:rsidP="00ED719B">
                            <w:pPr>
                              <w:tabs>
                                <w:tab w:val="left" w:pos="6946"/>
                              </w:tabs>
                              <w:spacing w:line="240" w:lineRule="auto"/>
                              <w:ind w:left="720"/>
                              <w:jc w:val="center"/>
                              <w:rPr>
                                <w:rFonts w:ascii="Noto Sans" w:hAnsi="Noto Sans" w:cs="Noto Sans"/>
                                <w:b/>
                                <w:bCs/>
                                <w:color w:val="FFFFFF" w:themeColor="background1"/>
                                <w:sz w:val="28"/>
                                <w:szCs w:val="28"/>
                                <w:lang w:val="el-GR"/>
                              </w:rPr>
                            </w:pPr>
                            <w:r w:rsidRPr="00ED719B">
                              <w:rPr>
                                <w:rFonts w:ascii="Noto Sans" w:hAnsi="Noto Sans" w:cs="Noto Sans"/>
                                <w:b/>
                                <w:bCs/>
                                <w:color w:val="FFFFFF" w:themeColor="background1"/>
                                <w:sz w:val="28"/>
                                <w:szCs w:val="28"/>
                                <w:lang w:val="el"/>
                              </w:rPr>
                              <w:t xml:space="preserve">Συμπεριληπτική Μείωση Κινδύνου Καταστροφών για </w:t>
                            </w:r>
                            <w:r w:rsidRPr="00ED719B">
                              <w:rPr>
                                <w:rFonts w:ascii="Noto Sans" w:hAnsi="Noto Sans" w:cs="Noto Sans"/>
                                <w:b/>
                                <w:bCs/>
                                <w:color w:val="FFFFFF" w:themeColor="background1"/>
                                <w:sz w:val="28"/>
                                <w:szCs w:val="28"/>
                                <w:lang w:val="el"/>
                              </w:rPr>
                              <w:br/>
                              <w:t>Άτομα με Αναπηρία (DIDRR)</w:t>
                            </w:r>
                          </w:p>
                          <w:p w14:paraId="3E3845EE" w14:textId="77777777" w:rsidR="00ED719B" w:rsidRPr="00DA446C" w:rsidRDefault="00ED719B" w:rsidP="00ED719B">
                            <w:pPr>
                              <w:tabs>
                                <w:tab w:val="left" w:pos="6946"/>
                              </w:tabs>
                              <w:spacing w:line="240" w:lineRule="auto"/>
                              <w:jc w:val="center"/>
                              <w:rPr>
                                <w:rFonts w:ascii="Noto Sans" w:hAnsi="Noto Sans" w:cs="Noto Sans"/>
                                <w:lang w:val="el-GR"/>
                              </w:rPr>
                            </w:pP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oundrect w14:anchorId="1146E770" id="_x0000_s1027" style="width:455.4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" fillcolor="#156082" strokecolor="#042433" strokeweight="1pt">
                <v:stroke joinstyle="miter"/>
                <v:textbox inset="1mm,.5mm,1mm,.5mm">
                  <w:txbxContent>
                    <w:p w14:paraId="19CF3BDD" w14:textId="77777777" w:rsidR="00ED719B" w:rsidRPr="00ED719B" w:rsidRDefault="00ED719B" w:rsidP="00ED719B">
                      <w:pPr>
                        <w:tabs>
                          <w:tab w:val="left" w:pos="6946"/>
                        </w:tabs>
                        <w:spacing w:line="240" w:lineRule="auto"/>
                        <w:ind w:left="720"/>
                        <w:jc w:val="center"/>
                        <w:rPr>
                          <w:rFonts w:ascii="Noto Sans" w:hAnsi="Noto Sans" w:cs="Noto Sans"/>
                          <w:b/>
                          <w:bCs/>
                          <w:color w:val="FFFFFF" w:themeColor="background1"/>
                          <w:sz w:val="28"/>
                          <w:szCs w:val="28"/>
                          <w:lang w:val="el-GR"/>
                        </w:rPr>
                      </w:pPr>
                      <w:r w:rsidRPr="00ED719B">
                        <w:rPr>
                          <w:rFonts w:ascii="Noto Sans" w:hAnsi="Noto Sans" w:cs="Noto Sans"/>
                          <w:b/>
                          <w:bCs/>
                          <w:color w:val="FFFFFF" w:themeColor="background1"/>
                          <w:sz w:val="28"/>
                          <w:szCs w:val="28"/>
                          <w:lang w:val="el"/>
                        </w:rPr>
                        <w:t xml:space="preserve">Συμπεριληπτική Μείωση Κινδύνου Καταστροφών για </w:t>
                      </w:r>
                      <w:r w:rsidRPr="00ED719B">
                        <w:rPr>
                          <w:rFonts w:ascii="Noto Sans" w:hAnsi="Noto Sans" w:cs="Noto Sans"/>
                          <w:b/>
                          <w:bCs/>
                          <w:color w:val="FFFFFF" w:themeColor="background1"/>
                          <w:sz w:val="28"/>
                          <w:szCs w:val="28"/>
                          <w:lang w:val="el"/>
                        </w:rPr>
                        <w:br/>
                        <w:t>Άτομα με Αναπηρία (DIDRR)</w:t>
                      </w:r>
                    </w:p>
                    <w:p w14:paraId="3E3845EE" w14:textId="77777777" w:rsidR="00ED719B" w:rsidRPr="00DA446C" w:rsidRDefault="00ED719B" w:rsidP="00ED719B">
                      <w:pPr>
                        <w:tabs>
                          <w:tab w:val="left" w:pos="6946"/>
                        </w:tabs>
                        <w:spacing w:line="240" w:lineRule="auto"/>
                        <w:jc w:val="center"/>
                        <w:rPr>
                          <w:rFonts w:ascii="Noto Sans" w:hAnsi="Noto Sans" w:cs="Noto Sans"/>
                          <w:lang w:val="el-GR"/>
                        </w:rPr>
                      </w:pPr>
                    </w:p>
                  </w:txbxContent>
                </v:textbox>
                <w10:anchorlock/>
              </v:roundrect>
            </w:pict>
          </mc:Fallback>
        </mc:AlternateContent>
      </w:r>
    </w:p>
    <w:p w14:paraId="3DBCF302" w14:textId="6AE314AC" w:rsidR="00246298" w:rsidRPr="00DA446C" w:rsidRDefault="00547570" w:rsidP="00DA446C">
      <w:pPr>
        <w:spacing w:before="400" w:after="120" w:line="240" w:lineRule="auto"/>
        <w:rPr>
          <w:rFonts w:ascii="Noto Sans" w:hAnsi="Noto Sans" w:cs="Noto Sans"/>
          <w:lang w:val="el-GR"/>
        </w:rPr>
      </w:pPr>
      <w:r w:rsidRPr="00DA446C">
        <w:rPr>
          <w:rFonts w:ascii="Noto Sans" w:hAnsi="Noto Sans" w:cs="Noto Sans"/>
          <w:lang w:val="el"/>
        </w:rPr>
        <w:lastRenderedPageBreak/>
        <w:t xml:space="preserve">Η </w:t>
      </w:r>
      <w:r w:rsidRPr="00DA446C">
        <w:rPr>
          <w:rFonts w:ascii="Noto Sans" w:hAnsi="Noto Sans" w:cs="Noto Sans"/>
          <w:b/>
          <w:bCs/>
          <w:lang w:val="el"/>
        </w:rPr>
        <w:t>Σύμβαση των Ηνωμένων Εθνών για τα Δικαιώματα των Ατόμων με Αναπηρία</w:t>
      </w:r>
      <w:r w:rsidRPr="00DA446C">
        <w:rPr>
          <w:rFonts w:ascii="Noto Sans" w:hAnsi="Noto Sans" w:cs="Noto Sans"/>
          <w:lang w:val="el"/>
        </w:rPr>
        <w:t xml:space="preserve"> δηλώνει ότι τα Κράτη Μέρη θα πρέπει να λαμβάνουν όλα τα αναγκαία μέτρα για να εξασφαλίσουν την προστασία και την ασφάλεια των ατόμων με αναπηρίες σε καταστάσεις κινδύνου, συμπεριλαμβανομένων καταστάσεων ένοπλης σύγκρουσης, ανθρωπιστικών καταστάσεων έκτακτης ανάγκης και της εμφάνισης φυσικών καταστροφών (Άρθρο 11).</w:t>
      </w:r>
    </w:p>
    <w:p w14:paraId="14C36301" w14:textId="2D0BC696" w:rsidR="00FF7E29" w:rsidRPr="005F45FB" w:rsidRDefault="004C37B2" w:rsidP="00DA446C">
      <w:pPr>
        <w:spacing w:after="120" w:line="240" w:lineRule="auto"/>
        <w:rPr>
          <w:rFonts w:ascii="Noto Sans" w:hAnsi="Noto Sans" w:cs="Noto Sans"/>
        </w:rPr>
      </w:pPr>
      <w:r w:rsidRPr="00DA446C">
        <w:rPr>
          <w:rFonts w:ascii="Noto Sans" w:hAnsi="Noto Sans" w:cs="Noto Sans"/>
          <w:lang w:val="el"/>
        </w:rPr>
        <w:t xml:space="preserve">Το </w:t>
      </w:r>
      <w:r w:rsidRPr="00DA446C">
        <w:rPr>
          <w:rFonts w:ascii="Noto Sans" w:hAnsi="Noto Sans" w:cs="Noto Sans"/>
          <w:b/>
          <w:bCs/>
          <w:lang w:val="el"/>
        </w:rPr>
        <w:t>Πλαίσιο Sendai για τη Μείωση του Κινδύνου Καταστροφών 2015-2030</w:t>
      </w:r>
      <w:r w:rsidRPr="00DA446C">
        <w:rPr>
          <w:rFonts w:ascii="Noto Sans" w:hAnsi="Noto Sans" w:cs="Noto Sans"/>
          <w:lang w:val="el"/>
        </w:rPr>
        <w:t xml:space="preserve"> είναι μια διεθνής συμφωνία για δράση για την πρόληψη νέων και τη μείωση των υφιστάμενων κινδύνων καταστροφών.</w:t>
      </w:r>
    </w:p>
    <w:p w14:paraId="26B9D796" w14:textId="249D01D9" w:rsidR="00FF7E29" w:rsidRPr="0044346D" w:rsidRDefault="00547570" w:rsidP="00DA446C">
      <w:pPr>
        <w:spacing w:after="120" w:line="240" w:lineRule="auto"/>
        <w:rPr>
          <w:rFonts w:ascii="Noto Sans" w:hAnsi="Noto Sans" w:cs="Noto Sans"/>
        </w:rPr>
      </w:pPr>
      <w:r w:rsidRPr="00DA446C">
        <w:rPr>
          <w:rFonts w:ascii="Noto Sans" w:hAnsi="Noto Sans" w:cs="Noto Sans"/>
          <w:lang w:val="el"/>
        </w:rPr>
        <w:t xml:space="preserve">Το </w:t>
      </w:r>
      <w:r w:rsidRPr="00DA446C">
        <w:rPr>
          <w:rFonts w:ascii="Noto Sans" w:hAnsi="Noto Sans" w:cs="Noto Sans"/>
          <w:b/>
          <w:bCs/>
          <w:lang w:val="el"/>
        </w:rPr>
        <w:t>Εθνικό Πλαίσιο Μείωσης Κινδύνων Καταστροφών</w:t>
      </w:r>
      <w:r w:rsidRPr="00DA446C">
        <w:rPr>
          <w:rFonts w:ascii="Noto Sans" w:hAnsi="Noto Sans" w:cs="Noto Sans"/>
          <w:lang w:val="el"/>
        </w:rPr>
        <w:t xml:space="preserve"> χρησιμεύει ως εφαρμογή του Πλαισίου Sendai από την Αυστραλία. Το πλαίσιο </w:t>
      </w:r>
      <w:hyperlink r:id="rId12" w:tgtFrame="_blank" w:history="1">
        <w:r w:rsidRPr="00DA446C">
          <w:rPr>
            <w:rStyle w:val="Hyperlink"/>
            <w:rFonts w:ascii="Noto Sans" w:hAnsi="Noto Sans" w:cs="Noto Sans"/>
            <w:color w:val="auto"/>
            <w:u w:val="none"/>
            <w:lang w:val="el"/>
          </w:rPr>
          <w:t>παρέχει θεμελιώδεις στρατηγικές δράσης, εστιάζοντας στην κατανόηση του κινδύνου καταστροφών, στην υπεύθυνη λήψη αποφάσεων, στην ενισχυμένη επένδυση και στην αποτελεσματική διακυβέρνηση</w:t>
        </w:r>
      </w:hyperlink>
      <w:r w:rsidRPr="00DA446C">
        <w:rPr>
          <w:rFonts w:ascii="Noto Sans" w:hAnsi="Noto Sans" w:cs="Noto Sans"/>
          <w:lang w:val="el"/>
        </w:rPr>
        <w:t>.</w:t>
      </w:r>
    </w:p>
    <w:p w14:paraId="42904E23" w14:textId="365CA2F2" w:rsidR="00B5618B" w:rsidRPr="0044346D" w:rsidRDefault="00547570" w:rsidP="00DA446C">
      <w:pPr>
        <w:spacing w:after="120" w:line="240" w:lineRule="auto"/>
        <w:rPr>
          <w:rFonts w:ascii="Noto Sans" w:hAnsi="Noto Sans" w:cs="Noto Sans"/>
        </w:rPr>
      </w:pPr>
      <w:r w:rsidRPr="00DA446C">
        <w:rPr>
          <w:rFonts w:ascii="Noto Sans" w:hAnsi="Noto Sans" w:cs="Noto Sans"/>
          <w:b/>
          <w:bCs/>
          <w:lang w:val="el"/>
        </w:rPr>
        <w:t>Συμπεριληπτική Μείωση Κινδύνων Καταστροφών για Άτομα με Αναπηρία</w:t>
      </w:r>
      <w:r w:rsidRPr="00DA446C">
        <w:rPr>
          <w:rFonts w:ascii="Noto Sans" w:hAnsi="Noto Sans" w:cs="Noto Sans"/>
          <w:lang w:val="el"/>
        </w:rPr>
        <w:t xml:space="preserve"> παρέχει στρατηγικές και πρακτικές για τη μείωση της εμφάνισης κινδύνων, τη μείωση της έκθεσης και της ευπάθειας των ανθρώπων και των περιουσιακών τους στοιχείων και την ενίσχυση της ικανότητας των ανθρώπων να αντιμετωπίσουν τον αντίκτυπό τους.</w:t>
      </w:r>
    </w:p>
    <w:p w14:paraId="35127AD8" w14:textId="77777777" w:rsidR="0062521A" w:rsidRPr="00DA446C" w:rsidRDefault="00547570" w:rsidP="00DA446C">
      <w:pPr>
        <w:spacing w:after="120" w:line="240" w:lineRule="auto"/>
        <w:rPr>
          <w:rFonts w:ascii="Noto Sans" w:hAnsi="Noto Sans" w:cs="Noto Sans"/>
          <w:lang w:val="el-GR"/>
        </w:rPr>
      </w:pPr>
      <w:r w:rsidRPr="00DA446C">
        <w:rPr>
          <w:rFonts w:ascii="Noto Sans" w:hAnsi="Noto Sans" w:cs="Noto Sans"/>
          <w:b/>
          <w:bCs/>
          <w:lang w:val="el"/>
        </w:rPr>
        <w:t>Το Πρότυπο Πρακτικής NDIS για τη Διαχείριση Έκτακτης Ανάγκης και Καταστροφών</w:t>
      </w:r>
      <w:r w:rsidR="00220AC9" w:rsidRPr="00DA446C">
        <w:rPr>
          <w:rFonts w:ascii="Noto Sans" w:hAnsi="Noto Sans" w:cs="Noto Sans"/>
          <w:lang w:val="el"/>
        </w:rPr>
        <w:t xml:space="preserve"> παρέχει οδηγίες και βέλτιστες πρακτικές για παρόχους υπηρεσιών αναπηρίας για τη διασφάλιση της ασφάλειας, της ένταξης, και της αποτελεσματικής υποστήριξης ατόμων με αναπηρίες σε όλες τις πτυχές της διαχείρισης έκτακτης ανάγκης και καταστροφών.</w:t>
      </w:r>
    </w:p>
    <w:p w14:paraId="03FA0670" w14:textId="25CECB35" w:rsidR="00F926BF" w:rsidRPr="00DA446C" w:rsidRDefault="00547570" w:rsidP="0011622A">
      <w:pPr>
        <w:spacing w:after="200" w:line="240" w:lineRule="auto"/>
        <w:rPr>
          <w:rFonts w:ascii="Noto Sans" w:hAnsi="Noto Sans" w:cs="Noto Sans"/>
          <w:lang w:val="el-GR"/>
        </w:rPr>
      </w:pPr>
      <w:r w:rsidRPr="00DA446C">
        <w:rPr>
          <w:rFonts w:ascii="Noto Sans" w:hAnsi="Noto Sans" w:cs="Noto Sans"/>
          <w:lang w:val="el"/>
        </w:rPr>
        <w:t>Επιπλέον, οι Πάροχοι NDIS πρέπει να πληρούν τις νομοθετικές υποχρεώσεις έναντι των εργαζομένων και να διασφαλίζουν ότι υπάρχει ένα σχέδιο έκτακτης ανάγκης για τον χώρο εργασίας [</w:t>
      </w:r>
      <w:r w:rsidR="00455097" w:rsidRPr="00083A62">
        <w:rPr>
          <w:rFonts w:ascii="Noto Sans" w:hAnsi="Noto Sans" w:cs="Noto Sans"/>
          <w:i/>
          <w:iCs/>
          <w:lang w:val="el"/>
        </w:rPr>
        <w:t>Κανονισμός</w:t>
      </w:r>
      <w:r w:rsidR="00455097" w:rsidRPr="00DA446C">
        <w:rPr>
          <w:rFonts w:ascii="Noto Sans" w:hAnsi="Noto Sans" w:cs="Noto Sans"/>
          <w:i/>
          <w:iCs/>
          <w:lang w:val="el"/>
        </w:rPr>
        <w:t xml:space="preserve"> 43,</w:t>
      </w:r>
      <w:r w:rsidRPr="00DA446C">
        <w:rPr>
          <w:rFonts w:ascii="Noto Sans" w:hAnsi="Noto Sans" w:cs="Noto Sans"/>
          <w:lang w:val="el"/>
        </w:rPr>
        <w:t xml:space="preserve"> </w:t>
      </w:r>
      <w:r w:rsidR="00762D9B" w:rsidRPr="00DA446C">
        <w:rPr>
          <w:rFonts w:ascii="Noto Sans" w:hAnsi="Noto Sans" w:cs="Noto Sans"/>
          <w:i/>
          <w:iCs/>
          <w:lang w:val="el"/>
        </w:rPr>
        <w:t>Κανονισμός για την Υγεία και Ασφάλεια στην Εργασία (WHS) (2017)</w:t>
      </w:r>
      <w:r w:rsidRPr="00DA446C">
        <w:rPr>
          <w:rFonts w:ascii="Noto Sans" w:hAnsi="Noto Sans" w:cs="Noto Sans"/>
          <w:lang w:val="el"/>
        </w:rPr>
        <w:t>].</w:t>
      </w:r>
    </w:p>
    <w:p w14:paraId="29D5B5A1" w14:textId="77777777" w:rsidR="00DB2622" w:rsidRPr="00B2646E" w:rsidRDefault="00547570" w:rsidP="00DA446C">
      <w:pPr>
        <w:pStyle w:val="Heading2"/>
        <w:spacing w:line="240" w:lineRule="auto"/>
        <w:rPr>
          <w:rFonts w:ascii="Noto Sans" w:hAnsi="Noto Sans" w:cs="Noto Sans"/>
          <w:color w:val="538135"/>
          <w:lang w:val="el-GR"/>
        </w:rPr>
      </w:pPr>
      <w:r w:rsidRPr="00B2646E">
        <w:rPr>
          <w:rFonts w:ascii="Noto Sans" w:hAnsi="Noto Sans" w:cs="Noto Sans"/>
          <w:color w:val="538135"/>
          <w:lang w:val="el"/>
        </w:rPr>
        <w:t>Εφαρμογή της DIDRR και του Προτύπου Πρακτικής</w:t>
      </w:r>
    </w:p>
    <w:p w14:paraId="06A5AB26" w14:textId="77777777" w:rsidR="00115F42" w:rsidRPr="00DA446C" w:rsidRDefault="00547570" w:rsidP="00DA446C">
      <w:pPr>
        <w:spacing w:after="120" w:line="240" w:lineRule="auto"/>
        <w:rPr>
          <w:rFonts w:ascii="Noto Sans" w:hAnsi="Noto Sans" w:cs="Noto Sans"/>
          <w:lang w:val="el-GR"/>
        </w:rPr>
      </w:pPr>
      <w:r w:rsidRPr="00DA446C">
        <w:rPr>
          <w:rFonts w:ascii="Noto Sans" w:hAnsi="Noto Sans" w:cs="Noto Sans"/>
          <w:lang w:val="el"/>
        </w:rPr>
        <w:t>Τα βασικά μέρη της DIDRR είναι:</w:t>
      </w:r>
    </w:p>
    <w:p w14:paraId="1CA37320" w14:textId="77777777" w:rsidR="00115F42" w:rsidRPr="00DA446C" w:rsidRDefault="00547570" w:rsidP="00DA446C">
      <w:pPr>
        <w:pStyle w:val="ListParagraph"/>
        <w:numPr>
          <w:ilvl w:val="0"/>
          <w:numId w:val="4"/>
        </w:numPr>
        <w:spacing w:after="120" w:line="240" w:lineRule="auto"/>
        <w:contextualSpacing w:val="0"/>
        <w:rPr>
          <w:rFonts w:ascii="Noto Sans" w:hAnsi="Noto Sans" w:cs="Noto Sans"/>
          <w:lang w:val="el-GR"/>
        </w:rPr>
      </w:pPr>
      <w:r w:rsidRPr="00DA446C">
        <w:rPr>
          <w:rFonts w:ascii="Noto Sans" w:hAnsi="Noto Sans" w:cs="Noto Sans"/>
          <w:lang w:val="el"/>
        </w:rPr>
        <w:t>Εκτίμηση Κινδύνων και Ετοιμότητα: Προσδιορισμός και κατανόηση των συγκεκριμένων τρωτών σημείων και αναγκών των ατόμων με αναπηρίες και ενσωμάτωσή τους σε σχέδια και στρατηγικές ετοιμότητας για καταστροφές.</w:t>
      </w:r>
    </w:p>
    <w:p w14:paraId="45844D72" w14:textId="1A6CCB38" w:rsidR="00115F42" w:rsidRPr="00DA446C" w:rsidRDefault="00547570" w:rsidP="00DA446C">
      <w:pPr>
        <w:pStyle w:val="ListParagraph"/>
        <w:numPr>
          <w:ilvl w:val="0"/>
          <w:numId w:val="4"/>
        </w:numPr>
        <w:spacing w:after="120" w:line="240" w:lineRule="auto"/>
        <w:contextualSpacing w:val="0"/>
        <w:rPr>
          <w:rFonts w:ascii="Noto Sans" w:hAnsi="Noto Sans" w:cs="Noto Sans"/>
          <w:lang w:val="el-GR"/>
        </w:rPr>
      </w:pPr>
      <w:r w:rsidRPr="00DA446C">
        <w:rPr>
          <w:rFonts w:ascii="Noto Sans" w:hAnsi="Noto Sans" w:cs="Noto Sans"/>
          <w:lang w:val="el"/>
        </w:rPr>
        <w:t>Απόκριση και Aνάκαμψη: Διασφάλιση ότι οι αποκρίσεις έκτακτης ανάγκης είναι περιεκτικές και ανταποκρίνονται στις ανάγκες των ατόμων με αναπηρίες, συμπεριλαμβανομένων των προσβάσιμων διαδικασιών εκκένωσης, της παροχής βοηθητικών συσκευών και της ψυχοκοινωνικής υποστήριξης κατά τη διάρκεια της ανάκαμψης.</w:t>
      </w:r>
    </w:p>
    <w:p w14:paraId="7F9BD871" w14:textId="77777777" w:rsidR="00115F42" w:rsidRPr="00DA446C" w:rsidRDefault="00547570" w:rsidP="00DA446C">
      <w:pPr>
        <w:spacing w:after="120" w:line="240" w:lineRule="auto"/>
        <w:rPr>
          <w:rFonts w:ascii="Noto Sans" w:hAnsi="Noto Sans" w:cs="Noto Sans"/>
          <w:lang w:val="el-GR"/>
        </w:rPr>
      </w:pPr>
      <w:r w:rsidRPr="00DA446C">
        <w:rPr>
          <w:rFonts w:ascii="Noto Sans" w:hAnsi="Noto Sans" w:cs="Noto Sans"/>
          <w:lang w:val="el"/>
        </w:rPr>
        <w:t>Αυτά αντικατοπτρίζονται στις βασικές αρχές του Προτύπου Πρακτικής Διαχείρισης Έκτακτης Ανάγκης και Καταστροφών NDIS.</w:t>
      </w:r>
    </w:p>
    <w:p w14:paraId="18CB5293" w14:textId="77777777" w:rsidR="00115F42" w:rsidRPr="00DA446C" w:rsidRDefault="00547570" w:rsidP="00DA446C">
      <w:pPr>
        <w:pStyle w:val="ListParagraph"/>
        <w:numPr>
          <w:ilvl w:val="0"/>
          <w:numId w:val="6"/>
        </w:numPr>
        <w:spacing w:after="120" w:line="240" w:lineRule="auto"/>
        <w:contextualSpacing w:val="0"/>
        <w:rPr>
          <w:rFonts w:ascii="Noto Sans" w:hAnsi="Noto Sans" w:cs="Noto Sans"/>
          <w:lang w:val="el-GR"/>
        </w:rPr>
      </w:pPr>
      <w:r w:rsidRPr="00DA446C">
        <w:rPr>
          <w:rFonts w:ascii="Noto Sans" w:hAnsi="Noto Sans" w:cs="Noto Sans"/>
          <w:lang w:val="el"/>
        </w:rPr>
        <w:t>Σχεδιασμός και ετοιμότητα χωρίς αποκλεισμούς: Ενσωμάτωση προσεγγίσεων χωρίς αποκλεισμούς για άτομα με αναπηρία στον σχεδιασμό αντιμετώπισης έκτακτης ανάγκης, την αξιολόγηση κινδύνου και τις δραστηριότητες ετοιμότητας για τη διασφάλιση της πλήρους συμμετοχής και της ασφάλειας των ατόμων με αναπηρίες.</w:t>
      </w:r>
    </w:p>
    <w:p w14:paraId="4B2B9E0E" w14:textId="77777777" w:rsidR="00115F42" w:rsidRPr="00DA446C" w:rsidRDefault="00547570" w:rsidP="00DA446C">
      <w:pPr>
        <w:pStyle w:val="ListParagraph"/>
        <w:numPr>
          <w:ilvl w:val="0"/>
          <w:numId w:val="6"/>
        </w:numPr>
        <w:spacing w:after="120" w:line="240" w:lineRule="auto"/>
        <w:contextualSpacing w:val="0"/>
        <w:rPr>
          <w:rFonts w:ascii="Noto Sans" w:hAnsi="Noto Sans" w:cs="Noto Sans"/>
          <w:lang w:val="el-GR"/>
        </w:rPr>
      </w:pPr>
      <w:r w:rsidRPr="00DA446C">
        <w:rPr>
          <w:rFonts w:ascii="Noto Sans" w:hAnsi="Noto Sans" w:cs="Noto Sans"/>
          <w:lang w:val="el"/>
        </w:rPr>
        <w:t>Προσβάσιμη επικοινωνία και ενημέρωση: Παροχή προσβάσιμων και έγκαιρων πληροφοριών, προειδοποιήσεων και οδηγιών σε άτομα με αναπηρίες σε μορφές και γλώσσες που μπορούν να κατανοήσουν και να έχουν πρόσβαση.</w:t>
      </w:r>
    </w:p>
    <w:p w14:paraId="635B51F4" w14:textId="77777777" w:rsidR="00115F42" w:rsidRPr="00DA446C" w:rsidRDefault="00547570" w:rsidP="00DA446C">
      <w:pPr>
        <w:pStyle w:val="ListParagraph"/>
        <w:numPr>
          <w:ilvl w:val="0"/>
          <w:numId w:val="6"/>
        </w:numPr>
        <w:spacing w:after="120" w:line="240" w:lineRule="auto"/>
        <w:contextualSpacing w:val="0"/>
        <w:rPr>
          <w:rFonts w:ascii="Noto Sans" w:hAnsi="Noto Sans" w:cs="Noto Sans"/>
          <w:lang w:val="el-GR"/>
        </w:rPr>
      </w:pPr>
      <w:r w:rsidRPr="00DA446C">
        <w:rPr>
          <w:rFonts w:ascii="Noto Sans" w:hAnsi="Noto Sans" w:cs="Noto Sans"/>
          <w:lang w:val="el"/>
        </w:rPr>
        <w:t>Συνεργασία και συντονισμός: Συνεργασία με οργανισμούς αναπηρίας, οργανισμούς διαχείρισης έκτακτης ανάγκης και άλλους ενδιαφερόμενους για τη διασφάλιση του συντονισμού και της ενσωμάτωσης πρακτικών χωρίς αποκλεισμούς για άτομα με αναπηρία στις προσπάθειες αντιμετώπισης έκτακτης ανάγκης και ανάκαμψης.</w:t>
      </w:r>
    </w:p>
    <w:p w14:paraId="4163F9CC" w14:textId="5ABCD3BF" w:rsidR="00115F42" w:rsidRPr="00DA446C" w:rsidRDefault="00547570" w:rsidP="00DA446C">
      <w:pPr>
        <w:pStyle w:val="ListParagraph"/>
        <w:numPr>
          <w:ilvl w:val="0"/>
          <w:numId w:val="6"/>
        </w:numPr>
        <w:spacing w:after="120" w:line="240" w:lineRule="auto"/>
        <w:contextualSpacing w:val="0"/>
        <w:rPr>
          <w:rFonts w:ascii="Noto Sans" w:hAnsi="Noto Sans" w:cs="Noto Sans"/>
          <w:lang w:val="el-GR"/>
        </w:rPr>
      </w:pPr>
      <w:r w:rsidRPr="00DA446C">
        <w:rPr>
          <w:rFonts w:ascii="Noto Sans" w:hAnsi="Noto Sans" w:cs="Noto Sans"/>
          <w:lang w:val="el"/>
        </w:rPr>
        <w:t>Προσέγγιση βασισμένη στα δικαιώματα: Υποστήριξη των δικαιωμάτων και της αξιοπρέπειας των ατόμων με αναπηρίες σε όλες τις φάσεις της διαχείρισης έκτακτης ανάγκης, συμπεριλαμβανομένου του σεβασμού της αυτονομίας, της επιλογής και της μη διάκρισης.</w:t>
      </w:r>
    </w:p>
    <w:p w14:paraId="3372E020" w14:textId="1FEA881A" w:rsidR="00DB2622" w:rsidRPr="000C2BF5" w:rsidRDefault="00547570" w:rsidP="00156FC5">
      <w:pPr>
        <w:keepNext/>
        <w:keepLines/>
        <w:spacing w:after="120" w:line="240" w:lineRule="auto"/>
        <w:rPr>
          <w:rFonts w:ascii="Noto Sans" w:hAnsi="Noto Sans" w:cs="Noto Sans"/>
          <w:b/>
          <w:bCs/>
        </w:rPr>
      </w:pPr>
      <w:r w:rsidRPr="00DA446C">
        <w:rPr>
          <w:rFonts w:ascii="Noto Sans" w:hAnsi="Noto Sans" w:cs="Noto Sans"/>
          <w:b/>
          <w:bCs/>
          <w:lang w:val="el"/>
        </w:rPr>
        <w:t>Η Συμπεριληπτική Μείωση του Κινδύνου Καταστροφών (DIDRR) είναι απαραίτητη για τη διασφάλιση της ασφάλειας, της ανθεκτικότητας και της πλήρους συμμετοχής των ατόμων με αναπηρίες σε όλες τις πτυχές της διαχείρισης έκτακτης ανάγκης και καταστροφών.</w:t>
      </w:r>
    </w:p>
    <w:p w14:paraId="590CFD5F" w14:textId="56B5E05A" w:rsidR="00757ADF" w:rsidRDefault="00547570" w:rsidP="00156FC5">
      <w:pPr>
        <w:keepNext/>
        <w:keepLines/>
        <w:spacing w:after="120" w:line="240" w:lineRule="auto"/>
        <w:rPr>
          <w:rFonts w:ascii="Noto Sans" w:hAnsi="Noto Sans" w:cs="Noto Sans"/>
          <w:b/>
          <w:bCs/>
        </w:rPr>
      </w:pPr>
      <w:r w:rsidRPr="00DA446C">
        <w:rPr>
          <w:rFonts w:ascii="Noto Sans" w:hAnsi="Noto Sans" w:cs="Noto Sans"/>
          <w:b/>
          <w:bCs/>
          <w:lang w:val="el"/>
        </w:rPr>
        <w:t>Με την εφαρμογή των αρχών και των πρακτικών που περιγράφονται στο Πρότυπο Πρακτικής Έκτακτης Ανάγκης και Διαχείρισης Καταστροφών NDIS, οι πάροχοι υπηρεσιών αναπηρίας μπορούν να υποστηρίξουν αποτελεσματικά τα άτομα με αναπηρίες πριν, κατά τη διάρκεια και μετά από καταστάσεις έκτακτης ανάγκης, προωθώντας έτσι τα δικαιώματά τους, την ευημερία και την ένταξή τους στην κοινωνία.</w:t>
      </w:r>
    </w:p>
    <w:p w14:paraId="34FABB1B" w14:textId="3524074B" w:rsidR="005F45FB" w:rsidRPr="005F45FB" w:rsidRDefault="005F45FB" w:rsidP="00156FC5">
      <w:pPr>
        <w:keepNext/>
        <w:keepLines/>
        <w:spacing w:after="120" w:line="240" w:lineRule="auto"/>
        <w:rPr>
          <w:rFonts w:ascii="Noto Sans" w:hAnsi="Noto Sans" w:cs="Noto Sans"/>
        </w:rPr>
      </w:pPr>
      <w:proofErr w:type="spellStart"/>
      <w:r w:rsidRPr="005F45FB">
        <w:rPr>
          <w:rFonts w:ascii="Noto Sans" w:hAnsi="Noto Sans" w:cs="Noto Sans"/>
        </w:rPr>
        <w:t>Χρημ</w:t>
      </w:r>
      <w:proofErr w:type="spellEnd"/>
      <w:r w:rsidRPr="005F45FB">
        <w:rPr>
          <w:rFonts w:ascii="Noto Sans" w:hAnsi="Noto Sans" w:cs="Noto Sans"/>
        </w:rPr>
        <w:t xml:space="preserve">ατοδοτείται από </w:t>
      </w:r>
      <w:proofErr w:type="spellStart"/>
      <w:r w:rsidRPr="005F45FB">
        <w:rPr>
          <w:rFonts w:ascii="Noto Sans" w:hAnsi="Noto Sans" w:cs="Noto Sans"/>
        </w:rPr>
        <w:t>το</w:t>
      </w:r>
      <w:proofErr w:type="spellEnd"/>
      <w:r w:rsidRPr="005F45FB">
        <w:rPr>
          <w:rFonts w:ascii="Noto Sans" w:hAnsi="Noto Sans" w:cs="Noto Sans"/>
        </w:rPr>
        <w:t xml:space="preserve"> π</w:t>
      </w:r>
      <w:proofErr w:type="spellStart"/>
      <w:r w:rsidRPr="005F45FB">
        <w:rPr>
          <w:rFonts w:ascii="Noto Sans" w:hAnsi="Noto Sans" w:cs="Noto Sans"/>
        </w:rPr>
        <w:t>ρόγρ</w:t>
      </w:r>
      <w:proofErr w:type="spellEnd"/>
      <w:r w:rsidRPr="005F45FB">
        <w:rPr>
          <w:rFonts w:ascii="Noto Sans" w:hAnsi="Noto Sans" w:cs="Noto Sans"/>
        </w:rPr>
        <w:t>αμμα επ</w:t>
      </w:r>
      <w:proofErr w:type="spellStart"/>
      <w:r w:rsidRPr="005F45FB">
        <w:rPr>
          <w:rFonts w:ascii="Noto Sans" w:hAnsi="Noto Sans" w:cs="Noto Sans"/>
        </w:rPr>
        <w:t>ιχορήγησης</w:t>
      </w:r>
      <w:proofErr w:type="spellEnd"/>
      <w:r w:rsidRPr="005F45FB">
        <w:rPr>
          <w:rFonts w:ascii="Noto Sans" w:hAnsi="Noto Sans" w:cs="Noto Sans"/>
        </w:rPr>
        <w:t xml:space="preserve"> </w:t>
      </w:r>
      <w:proofErr w:type="spellStart"/>
      <w:r w:rsidRPr="005F45FB">
        <w:rPr>
          <w:rFonts w:ascii="Noto Sans" w:hAnsi="Noto Sans" w:cs="Noto Sans"/>
        </w:rPr>
        <w:t>της</w:t>
      </w:r>
      <w:proofErr w:type="spellEnd"/>
      <w:r w:rsidRPr="005F45FB">
        <w:rPr>
          <w:rFonts w:ascii="Noto Sans" w:hAnsi="Noto Sans" w:cs="Noto Sans"/>
        </w:rPr>
        <w:t xml:space="preserve"> Επ</w:t>
      </w:r>
      <w:proofErr w:type="spellStart"/>
      <w:r w:rsidRPr="005F45FB">
        <w:rPr>
          <w:rFonts w:ascii="Noto Sans" w:hAnsi="Noto Sans" w:cs="Noto Sans"/>
        </w:rPr>
        <w:t>ιτρο</w:t>
      </w:r>
      <w:proofErr w:type="spellEnd"/>
      <w:r w:rsidRPr="005F45FB">
        <w:rPr>
          <w:rFonts w:ascii="Noto Sans" w:hAnsi="Noto Sans" w:cs="Noto Sans"/>
        </w:rPr>
        <w:t xml:space="preserve">πής </w:t>
      </w:r>
      <w:proofErr w:type="spellStart"/>
      <w:r w:rsidRPr="005F45FB">
        <w:rPr>
          <w:rFonts w:ascii="Noto Sans" w:hAnsi="Noto Sans" w:cs="Noto Sans"/>
        </w:rPr>
        <w:t>Ποιότητ</w:t>
      </w:r>
      <w:proofErr w:type="spellEnd"/>
      <w:r w:rsidRPr="005F45FB">
        <w:rPr>
          <w:rFonts w:ascii="Noto Sans" w:hAnsi="Noto Sans" w:cs="Noto Sans"/>
        </w:rPr>
        <w:t xml:space="preserve">ας και </w:t>
      </w:r>
      <w:proofErr w:type="spellStart"/>
      <w:r w:rsidRPr="005F45FB">
        <w:rPr>
          <w:rFonts w:ascii="Noto Sans" w:hAnsi="Noto Sans" w:cs="Noto Sans"/>
        </w:rPr>
        <w:t>Δι</w:t>
      </w:r>
      <w:proofErr w:type="spellEnd"/>
      <w:r w:rsidRPr="005F45FB">
        <w:rPr>
          <w:rFonts w:ascii="Noto Sans" w:hAnsi="Noto Sans" w:cs="Noto Sans"/>
        </w:rPr>
        <w:t>ασφαλίσεων NDIS</w:t>
      </w:r>
    </w:p>
    <w:sectPr w:rsidR="005F45FB" w:rsidRPr="005F45FB" w:rsidSect="00ED719B">
      <w:headerReference w:type="default" r:id="rId13"/>
      <w:footerReference w:type="default" r:id="rId14"/>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439E5" w14:textId="77777777" w:rsidR="00EF2CEC" w:rsidRDefault="00EF2CEC" w:rsidP="00E52929">
      <w:pPr>
        <w:spacing w:after="0" w:line="240" w:lineRule="auto"/>
      </w:pPr>
      <w:r>
        <w:separator/>
      </w:r>
    </w:p>
  </w:endnote>
  <w:endnote w:type="continuationSeparator" w:id="0">
    <w:p w14:paraId="6B1BF6BD" w14:textId="77777777" w:rsidR="00EF2CEC" w:rsidRDefault="00EF2CEC" w:rsidP="00E5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Noto Sans">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252A" w14:textId="20453CE7" w:rsidR="00336C88" w:rsidRDefault="00336C88">
    <w:pPr>
      <w:pStyle w:val="Footer"/>
    </w:pPr>
    <w:r w:rsidRPr="00336C88">
      <w:rPr>
        <w:rFonts w:ascii="Noto Sans" w:eastAsia="Calibri" w:hAnsi="Noto Sans" w:cs="Noto Sans"/>
        <w:b/>
        <w:bCs/>
        <w:noProof/>
        <w:kern w:val="0"/>
        <w:sz w:val="28"/>
        <w:szCs w:val="28"/>
        <w:lang w:val="en-ID"/>
        <w14:ligatures w14:val="none"/>
      </w:rPr>
      <mc:AlternateContent>
        <mc:Choice Requires="wps">
          <w:drawing>
            <wp:inline distT="0" distB="0" distL="0" distR="0" wp14:anchorId="1B3E1E4C" wp14:editId="0C03F6E5">
              <wp:extent cx="1661823" cy="1723644"/>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1723644"/>
                      </a:xfrm>
                      <a:prstGeom prst="rect">
                        <a:avLst/>
                      </a:prstGeom>
                      <a:noFill/>
                      <a:ln w="9525">
                        <a:noFill/>
                        <a:miter lim="800000"/>
                        <a:headEnd/>
                        <a:tailEnd/>
                      </a:ln>
                    </wps:spPr>
                    <wps:txbx>
                      <w:txbxContent>
                        <w:p w14:paraId="544EE80B" w14:textId="77777777" w:rsidR="00336C88" w:rsidRPr="00DA446C" w:rsidRDefault="00336C88" w:rsidP="00336C88">
                          <w:pPr>
                            <w:ind w:left="-142"/>
                            <w:rPr>
                              <w:rFonts w:ascii="Noto Sans" w:hAnsi="Noto Sans" w:cs="Noto Sans"/>
                              <w:sz w:val="22"/>
                              <w:szCs w:val="22"/>
                            </w:rPr>
                          </w:pPr>
                          <w:r w:rsidRPr="00DA446C">
                            <w:rPr>
                              <w:rFonts w:ascii="Noto Sans" w:hAnsi="Noto Sans" w:cs="Noto Sans"/>
                              <w:sz w:val="22"/>
                              <w:szCs w:val="22"/>
                              <w:lang w:val="el"/>
                            </w:rPr>
                            <w:t>Greek | Ελληνικά</w:t>
                          </w:r>
                        </w:p>
                      </w:txbxContent>
                    </wps:txbx>
                    <wps:bodyPr rot="0" vert="horz" wrap="square" anchor="t" anchorCtr="0">
                      <a:spAutoFit/>
                    </wps:bodyPr>
                  </wps:wsp>
                </a:graphicData>
              </a:graphic>
            </wp:inline>
          </w:drawing>
        </mc:Choice>
        <mc:Fallback>
          <w:pict>
            <v:shapetype w14:anchorId="1B3E1E4C" id="_x0000_t202" coordsize="21600,21600" o:spt="202" path="m,l,21600r21600,l21600,xe">
              <v:stroke joinstyle="miter"/>
              <v:path gradientshapeok="t" o:connecttype="rect"/>
            </v:shapetype>
            <v:shape id="Text Box 2" o:spid="_x0000_s1028" type="#_x0000_t202" style="width:130.85pt;height:1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" filled="f" stroked="f">
              <v:textbox style="mso-fit-shape-to-text:t">
                <w:txbxContent>
                  <w:p w14:paraId="544EE80B" w14:textId="77777777" w:rsidR="00336C88" w:rsidRPr="00DA446C" w:rsidRDefault="00336C88" w:rsidP="00336C88">
                    <w:pPr>
                      <w:ind w:left="-142"/>
                      <w:rPr>
                        <w:rFonts w:ascii="Noto Sans" w:hAnsi="Noto Sans" w:cs="Noto Sans"/>
                        <w:sz w:val="22"/>
                        <w:szCs w:val="22"/>
                      </w:rPr>
                    </w:pPr>
                    <w:r w:rsidRPr="00DA446C">
                      <w:rPr>
                        <w:rFonts w:ascii="Noto Sans" w:hAnsi="Noto Sans" w:cs="Noto Sans"/>
                        <w:sz w:val="22"/>
                        <w:szCs w:val="22"/>
                        <w:lang w:val="el"/>
                      </w:rPr>
                      <w:t>Greek | Ελληνικά</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299FE" w14:textId="77777777" w:rsidR="00EF2CEC" w:rsidRDefault="00EF2CEC" w:rsidP="00E52929">
      <w:pPr>
        <w:spacing w:after="0" w:line="240" w:lineRule="auto"/>
      </w:pPr>
      <w:r>
        <w:separator/>
      </w:r>
    </w:p>
  </w:footnote>
  <w:footnote w:type="continuationSeparator" w:id="0">
    <w:p w14:paraId="7F34396F" w14:textId="77777777" w:rsidR="00EF2CEC" w:rsidRDefault="00EF2CEC" w:rsidP="00E52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5FCD" w14:textId="0B4CE2C4" w:rsidR="00E52929" w:rsidRDefault="00E52929">
    <w:pPr>
      <w:pStyle w:val="Header"/>
    </w:pPr>
    <w:r>
      <w:rPr>
        <w:noProof/>
      </w:rPr>
      <w:drawing>
        <wp:anchor distT="0" distB="0" distL="114300" distR="114300" simplePos="0" relativeHeight="251658240" behindDoc="1" locked="0" layoutInCell="1" allowOverlap="1" wp14:anchorId="1FA42CFB" wp14:editId="2CDBCA59">
          <wp:simplePos x="0" y="0"/>
          <wp:positionH relativeFrom="page">
            <wp:posOffset>0</wp:posOffset>
          </wp:positionH>
          <wp:positionV relativeFrom="page">
            <wp:posOffset>0</wp:posOffset>
          </wp:positionV>
          <wp:extent cx="7545600" cy="608400"/>
          <wp:effectExtent l="0" t="0" r="0" b="1270"/>
          <wp:wrapNone/>
          <wp:docPr id="1594467742"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67742"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56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37E31"/>
    <w:multiLevelType w:val="hybridMultilevel"/>
    <w:tmpl w:val="DE448878"/>
    <w:lvl w:ilvl="0" w:tplc="9FB8060E">
      <w:start w:val="1"/>
      <w:numFmt w:val="decimal"/>
      <w:lvlText w:val="%1."/>
      <w:lvlJc w:val="left"/>
      <w:pPr>
        <w:ind w:left="720" w:hanging="360"/>
      </w:pPr>
    </w:lvl>
    <w:lvl w:ilvl="1" w:tplc="9D58B888" w:tentative="1">
      <w:start w:val="1"/>
      <w:numFmt w:val="lowerLetter"/>
      <w:lvlText w:val="%2."/>
      <w:lvlJc w:val="left"/>
      <w:pPr>
        <w:ind w:left="1440" w:hanging="360"/>
      </w:pPr>
    </w:lvl>
    <w:lvl w:ilvl="2" w:tplc="D070E430" w:tentative="1">
      <w:start w:val="1"/>
      <w:numFmt w:val="lowerRoman"/>
      <w:lvlText w:val="%3."/>
      <w:lvlJc w:val="right"/>
      <w:pPr>
        <w:ind w:left="2160" w:hanging="180"/>
      </w:pPr>
    </w:lvl>
    <w:lvl w:ilvl="3" w:tplc="9336F0FE" w:tentative="1">
      <w:start w:val="1"/>
      <w:numFmt w:val="decimal"/>
      <w:lvlText w:val="%4."/>
      <w:lvlJc w:val="left"/>
      <w:pPr>
        <w:ind w:left="2880" w:hanging="360"/>
      </w:pPr>
    </w:lvl>
    <w:lvl w:ilvl="4" w:tplc="FDA06734" w:tentative="1">
      <w:start w:val="1"/>
      <w:numFmt w:val="lowerLetter"/>
      <w:lvlText w:val="%5."/>
      <w:lvlJc w:val="left"/>
      <w:pPr>
        <w:ind w:left="3600" w:hanging="360"/>
      </w:pPr>
    </w:lvl>
    <w:lvl w:ilvl="5" w:tplc="9670EFC8" w:tentative="1">
      <w:start w:val="1"/>
      <w:numFmt w:val="lowerRoman"/>
      <w:lvlText w:val="%6."/>
      <w:lvlJc w:val="right"/>
      <w:pPr>
        <w:ind w:left="4320" w:hanging="180"/>
      </w:pPr>
    </w:lvl>
    <w:lvl w:ilvl="6" w:tplc="5D5035F2" w:tentative="1">
      <w:start w:val="1"/>
      <w:numFmt w:val="decimal"/>
      <w:lvlText w:val="%7."/>
      <w:lvlJc w:val="left"/>
      <w:pPr>
        <w:ind w:left="5040" w:hanging="360"/>
      </w:pPr>
    </w:lvl>
    <w:lvl w:ilvl="7" w:tplc="EAE4EEE4" w:tentative="1">
      <w:start w:val="1"/>
      <w:numFmt w:val="lowerLetter"/>
      <w:lvlText w:val="%8."/>
      <w:lvlJc w:val="left"/>
      <w:pPr>
        <w:ind w:left="5760" w:hanging="360"/>
      </w:pPr>
    </w:lvl>
    <w:lvl w:ilvl="8" w:tplc="1F0C5B4E" w:tentative="1">
      <w:start w:val="1"/>
      <w:numFmt w:val="lowerRoman"/>
      <w:lvlText w:val="%9."/>
      <w:lvlJc w:val="right"/>
      <w:pPr>
        <w:ind w:left="6480" w:hanging="180"/>
      </w:pPr>
    </w:lvl>
  </w:abstractNum>
  <w:abstractNum w:abstractNumId="1" w15:restartNumberingAfterBreak="0">
    <w:nsid w:val="18D31481"/>
    <w:multiLevelType w:val="hybridMultilevel"/>
    <w:tmpl w:val="A19A3DA4"/>
    <w:lvl w:ilvl="0" w:tplc="600E8CB2">
      <w:start w:val="1"/>
      <w:numFmt w:val="decimal"/>
      <w:lvlText w:val="%1."/>
      <w:lvlJc w:val="left"/>
      <w:pPr>
        <w:ind w:left="720" w:hanging="360"/>
      </w:pPr>
    </w:lvl>
    <w:lvl w:ilvl="1" w:tplc="22DA8222" w:tentative="1">
      <w:start w:val="1"/>
      <w:numFmt w:val="lowerLetter"/>
      <w:lvlText w:val="%2."/>
      <w:lvlJc w:val="left"/>
      <w:pPr>
        <w:ind w:left="1440" w:hanging="360"/>
      </w:pPr>
    </w:lvl>
    <w:lvl w:ilvl="2" w:tplc="CEE6DE10" w:tentative="1">
      <w:start w:val="1"/>
      <w:numFmt w:val="lowerRoman"/>
      <w:lvlText w:val="%3."/>
      <w:lvlJc w:val="right"/>
      <w:pPr>
        <w:ind w:left="2160" w:hanging="180"/>
      </w:pPr>
    </w:lvl>
    <w:lvl w:ilvl="3" w:tplc="C0D2BE30" w:tentative="1">
      <w:start w:val="1"/>
      <w:numFmt w:val="decimal"/>
      <w:lvlText w:val="%4."/>
      <w:lvlJc w:val="left"/>
      <w:pPr>
        <w:ind w:left="2880" w:hanging="360"/>
      </w:pPr>
    </w:lvl>
    <w:lvl w:ilvl="4" w:tplc="B0B20F10" w:tentative="1">
      <w:start w:val="1"/>
      <w:numFmt w:val="lowerLetter"/>
      <w:lvlText w:val="%5."/>
      <w:lvlJc w:val="left"/>
      <w:pPr>
        <w:ind w:left="3600" w:hanging="360"/>
      </w:pPr>
    </w:lvl>
    <w:lvl w:ilvl="5" w:tplc="203AC00E" w:tentative="1">
      <w:start w:val="1"/>
      <w:numFmt w:val="lowerRoman"/>
      <w:lvlText w:val="%6."/>
      <w:lvlJc w:val="right"/>
      <w:pPr>
        <w:ind w:left="4320" w:hanging="180"/>
      </w:pPr>
    </w:lvl>
    <w:lvl w:ilvl="6" w:tplc="546E62CE" w:tentative="1">
      <w:start w:val="1"/>
      <w:numFmt w:val="decimal"/>
      <w:lvlText w:val="%7."/>
      <w:lvlJc w:val="left"/>
      <w:pPr>
        <w:ind w:left="5040" w:hanging="360"/>
      </w:pPr>
    </w:lvl>
    <w:lvl w:ilvl="7" w:tplc="0DAAB240" w:tentative="1">
      <w:start w:val="1"/>
      <w:numFmt w:val="lowerLetter"/>
      <w:lvlText w:val="%8."/>
      <w:lvlJc w:val="left"/>
      <w:pPr>
        <w:ind w:left="5760" w:hanging="360"/>
      </w:pPr>
    </w:lvl>
    <w:lvl w:ilvl="8" w:tplc="CF14E620" w:tentative="1">
      <w:start w:val="1"/>
      <w:numFmt w:val="lowerRoman"/>
      <w:lvlText w:val="%9."/>
      <w:lvlJc w:val="right"/>
      <w:pPr>
        <w:ind w:left="6480" w:hanging="180"/>
      </w:pPr>
    </w:lvl>
  </w:abstractNum>
  <w:abstractNum w:abstractNumId="2" w15:restartNumberingAfterBreak="0">
    <w:nsid w:val="1900558A"/>
    <w:multiLevelType w:val="hybridMultilevel"/>
    <w:tmpl w:val="5E6A6950"/>
    <w:lvl w:ilvl="0" w:tplc="825EF844">
      <w:start w:val="1"/>
      <w:numFmt w:val="decimal"/>
      <w:lvlText w:val="%1."/>
      <w:lvlJc w:val="left"/>
      <w:pPr>
        <w:ind w:left="456" w:hanging="360"/>
      </w:pPr>
      <w:rPr>
        <w:rFonts w:hint="default"/>
      </w:rPr>
    </w:lvl>
    <w:lvl w:ilvl="1" w:tplc="E3ACFD22" w:tentative="1">
      <w:start w:val="1"/>
      <w:numFmt w:val="lowerLetter"/>
      <w:lvlText w:val="%2."/>
      <w:lvlJc w:val="left"/>
      <w:pPr>
        <w:ind w:left="1176" w:hanging="360"/>
      </w:pPr>
    </w:lvl>
    <w:lvl w:ilvl="2" w:tplc="CC883102" w:tentative="1">
      <w:start w:val="1"/>
      <w:numFmt w:val="lowerRoman"/>
      <w:lvlText w:val="%3."/>
      <w:lvlJc w:val="right"/>
      <w:pPr>
        <w:ind w:left="1896" w:hanging="180"/>
      </w:pPr>
    </w:lvl>
    <w:lvl w:ilvl="3" w:tplc="A400435A" w:tentative="1">
      <w:start w:val="1"/>
      <w:numFmt w:val="decimal"/>
      <w:lvlText w:val="%4."/>
      <w:lvlJc w:val="left"/>
      <w:pPr>
        <w:ind w:left="2616" w:hanging="360"/>
      </w:pPr>
    </w:lvl>
    <w:lvl w:ilvl="4" w:tplc="4DD2D820" w:tentative="1">
      <w:start w:val="1"/>
      <w:numFmt w:val="lowerLetter"/>
      <w:lvlText w:val="%5."/>
      <w:lvlJc w:val="left"/>
      <w:pPr>
        <w:ind w:left="3336" w:hanging="360"/>
      </w:pPr>
    </w:lvl>
    <w:lvl w:ilvl="5" w:tplc="BECAD210" w:tentative="1">
      <w:start w:val="1"/>
      <w:numFmt w:val="lowerRoman"/>
      <w:lvlText w:val="%6."/>
      <w:lvlJc w:val="right"/>
      <w:pPr>
        <w:ind w:left="4056" w:hanging="180"/>
      </w:pPr>
    </w:lvl>
    <w:lvl w:ilvl="6" w:tplc="4F84F014" w:tentative="1">
      <w:start w:val="1"/>
      <w:numFmt w:val="decimal"/>
      <w:lvlText w:val="%7."/>
      <w:lvlJc w:val="left"/>
      <w:pPr>
        <w:ind w:left="4776" w:hanging="360"/>
      </w:pPr>
    </w:lvl>
    <w:lvl w:ilvl="7" w:tplc="B540FE78" w:tentative="1">
      <w:start w:val="1"/>
      <w:numFmt w:val="lowerLetter"/>
      <w:lvlText w:val="%8."/>
      <w:lvlJc w:val="left"/>
      <w:pPr>
        <w:ind w:left="5496" w:hanging="360"/>
      </w:pPr>
    </w:lvl>
    <w:lvl w:ilvl="8" w:tplc="F7503998" w:tentative="1">
      <w:start w:val="1"/>
      <w:numFmt w:val="lowerRoman"/>
      <w:lvlText w:val="%9."/>
      <w:lvlJc w:val="right"/>
      <w:pPr>
        <w:ind w:left="6216" w:hanging="180"/>
      </w:pPr>
    </w:lvl>
  </w:abstractNum>
  <w:abstractNum w:abstractNumId="3" w15:restartNumberingAfterBreak="0">
    <w:nsid w:val="3FB3024B"/>
    <w:multiLevelType w:val="hybridMultilevel"/>
    <w:tmpl w:val="3B5C8E08"/>
    <w:lvl w:ilvl="0" w:tplc="5240DD0A">
      <w:start w:val="1"/>
      <w:numFmt w:val="bullet"/>
      <w:lvlText w:val="•"/>
      <w:lvlJc w:val="left"/>
      <w:pPr>
        <w:tabs>
          <w:tab w:val="num" w:pos="720"/>
        </w:tabs>
        <w:ind w:left="720" w:hanging="360"/>
      </w:pPr>
      <w:rPr>
        <w:rFonts w:ascii="Times New Roman" w:hAnsi="Times New Roman" w:hint="default"/>
      </w:rPr>
    </w:lvl>
    <w:lvl w:ilvl="1" w:tplc="8DA8E0C0" w:tentative="1">
      <w:start w:val="1"/>
      <w:numFmt w:val="bullet"/>
      <w:lvlText w:val="•"/>
      <w:lvlJc w:val="left"/>
      <w:pPr>
        <w:tabs>
          <w:tab w:val="num" w:pos="1440"/>
        </w:tabs>
        <w:ind w:left="1440" w:hanging="360"/>
      </w:pPr>
      <w:rPr>
        <w:rFonts w:ascii="Times New Roman" w:hAnsi="Times New Roman" w:hint="default"/>
      </w:rPr>
    </w:lvl>
    <w:lvl w:ilvl="2" w:tplc="B8C4C222" w:tentative="1">
      <w:start w:val="1"/>
      <w:numFmt w:val="bullet"/>
      <w:lvlText w:val="•"/>
      <w:lvlJc w:val="left"/>
      <w:pPr>
        <w:tabs>
          <w:tab w:val="num" w:pos="2160"/>
        </w:tabs>
        <w:ind w:left="2160" w:hanging="360"/>
      </w:pPr>
      <w:rPr>
        <w:rFonts w:ascii="Times New Roman" w:hAnsi="Times New Roman" w:hint="default"/>
      </w:rPr>
    </w:lvl>
    <w:lvl w:ilvl="3" w:tplc="1A602AA6" w:tentative="1">
      <w:start w:val="1"/>
      <w:numFmt w:val="bullet"/>
      <w:lvlText w:val="•"/>
      <w:lvlJc w:val="left"/>
      <w:pPr>
        <w:tabs>
          <w:tab w:val="num" w:pos="2880"/>
        </w:tabs>
        <w:ind w:left="2880" w:hanging="360"/>
      </w:pPr>
      <w:rPr>
        <w:rFonts w:ascii="Times New Roman" w:hAnsi="Times New Roman" w:hint="default"/>
      </w:rPr>
    </w:lvl>
    <w:lvl w:ilvl="4" w:tplc="6AB2C5E8" w:tentative="1">
      <w:start w:val="1"/>
      <w:numFmt w:val="bullet"/>
      <w:lvlText w:val="•"/>
      <w:lvlJc w:val="left"/>
      <w:pPr>
        <w:tabs>
          <w:tab w:val="num" w:pos="3600"/>
        </w:tabs>
        <w:ind w:left="3600" w:hanging="360"/>
      </w:pPr>
      <w:rPr>
        <w:rFonts w:ascii="Times New Roman" w:hAnsi="Times New Roman" w:hint="default"/>
      </w:rPr>
    </w:lvl>
    <w:lvl w:ilvl="5" w:tplc="1172A456" w:tentative="1">
      <w:start w:val="1"/>
      <w:numFmt w:val="bullet"/>
      <w:lvlText w:val="•"/>
      <w:lvlJc w:val="left"/>
      <w:pPr>
        <w:tabs>
          <w:tab w:val="num" w:pos="4320"/>
        </w:tabs>
        <w:ind w:left="4320" w:hanging="360"/>
      </w:pPr>
      <w:rPr>
        <w:rFonts w:ascii="Times New Roman" w:hAnsi="Times New Roman" w:hint="default"/>
      </w:rPr>
    </w:lvl>
    <w:lvl w:ilvl="6" w:tplc="074AE9C2" w:tentative="1">
      <w:start w:val="1"/>
      <w:numFmt w:val="bullet"/>
      <w:lvlText w:val="•"/>
      <w:lvlJc w:val="left"/>
      <w:pPr>
        <w:tabs>
          <w:tab w:val="num" w:pos="5040"/>
        </w:tabs>
        <w:ind w:left="5040" w:hanging="360"/>
      </w:pPr>
      <w:rPr>
        <w:rFonts w:ascii="Times New Roman" w:hAnsi="Times New Roman" w:hint="default"/>
      </w:rPr>
    </w:lvl>
    <w:lvl w:ilvl="7" w:tplc="49F0D0A6" w:tentative="1">
      <w:start w:val="1"/>
      <w:numFmt w:val="bullet"/>
      <w:lvlText w:val="•"/>
      <w:lvlJc w:val="left"/>
      <w:pPr>
        <w:tabs>
          <w:tab w:val="num" w:pos="5760"/>
        </w:tabs>
        <w:ind w:left="5760" w:hanging="360"/>
      </w:pPr>
      <w:rPr>
        <w:rFonts w:ascii="Times New Roman" w:hAnsi="Times New Roman" w:hint="default"/>
      </w:rPr>
    </w:lvl>
    <w:lvl w:ilvl="8" w:tplc="0D1E747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4722473"/>
    <w:multiLevelType w:val="multilevel"/>
    <w:tmpl w:val="0E32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47646"/>
    <w:multiLevelType w:val="hybridMultilevel"/>
    <w:tmpl w:val="6B808F62"/>
    <w:lvl w:ilvl="0" w:tplc="C67E874C">
      <w:start w:val="1"/>
      <w:numFmt w:val="bullet"/>
      <w:lvlText w:val="•"/>
      <w:lvlJc w:val="left"/>
      <w:pPr>
        <w:tabs>
          <w:tab w:val="num" w:pos="720"/>
        </w:tabs>
        <w:ind w:left="720" w:hanging="360"/>
      </w:pPr>
      <w:rPr>
        <w:rFonts w:ascii="Arial" w:hAnsi="Arial" w:hint="default"/>
      </w:rPr>
    </w:lvl>
    <w:lvl w:ilvl="1" w:tplc="1624E3CC" w:tentative="1">
      <w:start w:val="1"/>
      <w:numFmt w:val="bullet"/>
      <w:lvlText w:val="•"/>
      <w:lvlJc w:val="left"/>
      <w:pPr>
        <w:tabs>
          <w:tab w:val="num" w:pos="1440"/>
        </w:tabs>
        <w:ind w:left="1440" w:hanging="360"/>
      </w:pPr>
      <w:rPr>
        <w:rFonts w:ascii="Arial" w:hAnsi="Arial" w:hint="default"/>
      </w:rPr>
    </w:lvl>
    <w:lvl w:ilvl="2" w:tplc="B8AAF336" w:tentative="1">
      <w:start w:val="1"/>
      <w:numFmt w:val="bullet"/>
      <w:lvlText w:val="•"/>
      <w:lvlJc w:val="left"/>
      <w:pPr>
        <w:tabs>
          <w:tab w:val="num" w:pos="2160"/>
        </w:tabs>
        <w:ind w:left="2160" w:hanging="360"/>
      </w:pPr>
      <w:rPr>
        <w:rFonts w:ascii="Arial" w:hAnsi="Arial" w:hint="default"/>
      </w:rPr>
    </w:lvl>
    <w:lvl w:ilvl="3" w:tplc="E174A0CE" w:tentative="1">
      <w:start w:val="1"/>
      <w:numFmt w:val="bullet"/>
      <w:lvlText w:val="•"/>
      <w:lvlJc w:val="left"/>
      <w:pPr>
        <w:tabs>
          <w:tab w:val="num" w:pos="2880"/>
        </w:tabs>
        <w:ind w:left="2880" w:hanging="360"/>
      </w:pPr>
      <w:rPr>
        <w:rFonts w:ascii="Arial" w:hAnsi="Arial" w:hint="default"/>
      </w:rPr>
    </w:lvl>
    <w:lvl w:ilvl="4" w:tplc="7346BE5A" w:tentative="1">
      <w:start w:val="1"/>
      <w:numFmt w:val="bullet"/>
      <w:lvlText w:val="•"/>
      <w:lvlJc w:val="left"/>
      <w:pPr>
        <w:tabs>
          <w:tab w:val="num" w:pos="3600"/>
        </w:tabs>
        <w:ind w:left="3600" w:hanging="360"/>
      </w:pPr>
      <w:rPr>
        <w:rFonts w:ascii="Arial" w:hAnsi="Arial" w:hint="default"/>
      </w:rPr>
    </w:lvl>
    <w:lvl w:ilvl="5" w:tplc="21F05134" w:tentative="1">
      <w:start w:val="1"/>
      <w:numFmt w:val="bullet"/>
      <w:lvlText w:val="•"/>
      <w:lvlJc w:val="left"/>
      <w:pPr>
        <w:tabs>
          <w:tab w:val="num" w:pos="4320"/>
        </w:tabs>
        <w:ind w:left="4320" w:hanging="360"/>
      </w:pPr>
      <w:rPr>
        <w:rFonts w:ascii="Arial" w:hAnsi="Arial" w:hint="default"/>
      </w:rPr>
    </w:lvl>
    <w:lvl w:ilvl="6" w:tplc="BDF609AA" w:tentative="1">
      <w:start w:val="1"/>
      <w:numFmt w:val="bullet"/>
      <w:lvlText w:val="•"/>
      <w:lvlJc w:val="left"/>
      <w:pPr>
        <w:tabs>
          <w:tab w:val="num" w:pos="5040"/>
        </w:tabs>
        <w:ind w:left="5040" w:hanging="360"/>
      </w:pPr>
      <w:rPr>
        <w:rFonts w:ascii="Arial" w:hAnsi="Arial" w:hint="default"/>
      </w:rPr>
    </w:lvl>
    <w:lvl w:ilvl="7" w:tplc="FBA0ADEC" w:tentative="1">
      <w:start w:val="1"/>
      <w:numFmt w:val="bullet"/>
      <w:lvlText w:val="•"/>
      <w:lvlJc w:val="left"/>
      <w:pPr>
        <w:tabs>
          <w:tab w:val="num" w:pos="5760"/>
        </w:tabs>
        <w:ind w:left="5760" w:hanging="360"/>
      </w:pPr>
      <w:rPr>
        <w:rFonts w:ascii="Arial" w:hAnsi="Arial" w:hint="default"/>
      </w:rPr>
    </w:lvl>
    <w:lvl w:ilvl="8" w:tplc="D6BEC5B2" w:tentative="1">
      <w:start w:val="1"/>
      <w:numFmt w:val="bullet"/>
      <w:lvlText w:val="•"/>
      <w:lvlJc w:val="left"/>
      <w:pPr>
        <w:tabs>
          <w:tab w:val="num" w:pos="6480"/>
        </w:tabs>
        <w:ind w:left="6480" w:hanging="360"/>
      </w:pPr>
      <w:rPr>
        <w:rFonts w:ascii="Arial" w:hAnsi="Arial" w:hint="default"/>
      </w:rPr>
    </w:lvl>
  </w:abstractNum>
  <w:num w:numId="1" w16cid:durableId="1043867047">
    <w:abstractNumId w:val="5"/>
  </w:num>
  <w:num w:numId="2" w16cid:durableId="1629504229">
    <w:abstractNumId w:val="4"/>
  </w:num>
  <w:num w:numId="3" w16cid:durableId="805707679">
    <w:abstractNumId w:val="3"/>
  </w:num>
  <w:num w:numId="4" w16cid:durableId="984435448">
    <w:abstractNumId w:val="0"/>
  </w:num>
  <w:num w:numId="5" w16cid:durableId="2111390357">
    <w:abstractNumId w:val="1"/>
  </w:num>
  <w:num w:numId="6" w16cid:durableId="1828589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42"/>
    <w:rsid w:val="0000557A"/>
    <w:rsid w:val="00022D3D"/>
    <w:rsid w:val="00083A62"/>
    <w:rsid w:val="00085BC4"/>
    <w:rsid w:val="00085D5A"/>
    <w:rsid w:val="00094917"/>
    <w:rsid w:val="000C2BF5"/>
    <w:rsid w:val="000D18BA"/>
    <w:rsid w:val="00115F42"/>
    <w:rsid w:val="0011622A"/>
    <w:rsid w:val="00147F3E"/>
    <w:rsid w:val="00154823"/>
    <w:rsid w:val="00156FC5"/>
    <w:rsid w:val="001C5974"/>
    <w:rsid w:val="001E4608"/>
    <w:rsid w:val="001F4A56"/>
    <w:rsid w:val="00203231"/>
    <w:rsid w:val="00203983"/>
    <w:rsid w:val="00214CDB"/>
    <w:rsid w:val="00220AC9"/>
    <w:rsid w:val="00246298"/>
    <w:rsid w:val="0027602D"/>
    <w:rsid w:val="00296223"/>
    <w:rsid w:val="002C54BB"/>
    <w:rsid w:val="002E0FCF"/>
    <w:rsid w:val="002E2E0B"/>
    <w:rsid w:val="00303CE9"/>
    <w:rsid w:val="00326121"/>
    <w:rsid w:val="00336C88"/>
    <w:rsid w:val="003471F7"/>
    <w:rsid w:val="00375CDD"/>
    <w:rsid w:val="003A0C85"/>
    <w:rsid w:val="0044346D"/>
    <w:rsid w:val="00450CC3"/>
    <w:rsid w:val="00455097"/>
    <w:rsid w:val="004B7AF1"/>
    <w:rsid w:val="004C37B2"/>
    <w:rsid w:val="00506A5B"/>
    <w:rsid w:val="00547570"/>
    <w:rsid w:val="00554370"/>
    <w:rsid w:val="0056443B"/>
    <w:rsid w:val="00582C5D"/>
    <w:rsid w:val="005C1687"/>
    <w:rsid w:val="005C61A6"/>
    <w:rsid w:val="005F45FB"/>
    <w:rsid w:val="00600024"/>
    <w:rsid w:val="00605CF4"/>
    <w:rsid w:val="0062521A"/>
    <w:rsid w:val="006419C5"/>
    <w:rsid w:val="00671062"/>
    <w:rsid w:val="00672D91"/>
    <w:rsid w:val="006A5992"/>
    <w:rsid w:val="00757ADF"/>
    <w:rsid w:val="00762D9B"/>
    <w:rsid w:val="007727F5"/>
    <w:rsid w:val="007C2C0A"/>
    <w:rsid w:val="008008ED"/>
    <w:rsid w:val="00802145"/>
    <w:rsid w:val="00814487"/>
    <w:rsid w:val="00874C89"/>
    <w:rsid w:val="008D4365"/>
    <w:rsid w:val="008F40B3"/>
    <w:rsid w:val="0091047D"/>
    <w:rsid w:val="00974FCC"/>
    <w:rsid w:val="009B0352"/>
    <w:rsid w:val="009D43ED"/>
    <w:rsid w:val="00A006C7"/>
    <w:rsid w:val="00A13BE3"/>
    <w:rsid w:val="00A63C72"/>
    <w:rsid w:val="00A7090E"/>
    <w:rsid w:val="00A71876"/>
    <w:rsid w:val="00B2646E"/>
    <w:rsid w:val="00B34D7E"/>
    <w:rsid w:val="00B3663E"/>
    <w:rsid w:val="00B408F5"/>
    <w:rsid w:val="00B5618B"/>
    <w:rsid w:val="00BC3434"/>
    <w:rsid w:val="00BD4F41"/>
    <w:rsid w:val="00BF4E88"/>
    <w:rsid w:val="00C219BF"/>
    <w:rsid w:val="00C34F6D"/>
    <w:rsid w:val="00C46317"/>
    <w:rsid w:val="00C53EB3"/>
    <w:rsid w:val="00C76C4B"/>
    <w:rsid w:val="00CD110D"/>
    <w:rsid w:val="00D10FF4"/>
    <w:rsid w:val="00D41F06"/>
    <w:rsid w:val="00D5104A"/>
    <w:rsid w:val="00D9146A"/>
    <w:rsid w:val="00DA446C"/>
    <w:rsid w:val="00DB2622"/>
    <w:rsid w:val="00DB6F88"/>
    <w:rsid w:val="00E07F39"/>
    <w:rsid w:val="00E23D87"/>
    <w:rsid w:val="00E4331C"/>
    <w:rsid w:val="00E52929"/>
    <w:rsid w:val="00E71FAE"/>
    <w:rsid w:val="00E73AEF"/>
    <w:rsid w:val="00E8447B"/>
    <w:rsid w:val="00EC00A0"/>
    <w:rsid w:val="00ED1255"/>
    <w:rsid w:val="00ED719B"/>
    <w:rsid w:val="00EF2CEC"/>
    <w:rsid w:val="00EF4BA4"/>
    <w:rsid w:val="00F47DB1"/>
    <w:rsid w:val="00F926BF"/>
    <w:rsid w:val="00FD2845"/>
    <w:rsid w:val="00FD574F"/>
    <w:rsid w:val="00FE35DA"/>
    <w:rsid w:val="00FF1685"/>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DB82C"/>
  <w15:chartTrackingRefBased/>
  <w15:docId w15:val="{01C983D4-8E0E-4153-9599-3F133B1F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5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5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42"/>
    <w:rPr>
      <w:rFonts w:eastAsiaTheme="majorEastAsia" w:cstheme="majorBidi"/>
      <w:color w:val="272727" w:themeColor="text1" w:themeTint="D8"/>
    </w:rPr>
  </w:style>
  <w:style w:type="paragraph" w:styleId="Title">
    <w:name w:val="Title"/>
    <w:basedOn w:val="Normal"/>
    <w:next w:val="Normal"/>
    <w:link w:val="TitleChar"/>
    <w:uiPriority w:val="10"/>
    <w:qFormat/>
    <w:rsid w:val="00115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42"/>
    <w:pPr>
      <w:spacing w:before="160"/>
      <w:jc w:val="center"/>
    </w:pPr>
    <w:rPr>
      <w:i/>
      <w:iCs/>
      <w:color w:val="404040" w:themeColor="text1" w:themeTint="BF"/>
    </w:rPr>
  </w:style>
  <w:style w:type="character" w:customStyle="1" w:styleId="QuoteChar">
    <w:name w:val="Quote Char"/>
    <w:basedOn w:val="DefaultParagraphFont"/>
    <w:link w:val="Quote"/>
    <w:uiPriority w:val="29"/>
    <w:rsid w:val="00115F42"/>
    <w:rPr>
      <w:i/>
      <w:iCs/>
      <w:color w:val="404040" w:themeColor="text1" w:themeTint="BF"/>
    </w:rPr>
  </w:style>
  <w:style w:type="paragraph" w:styleId="ListParagraph">
    <w:name w:val="List Paragraph"/>
    <w:basedOn w:val="Normal"/>
    <w:uiPriority w:val="34"/>
    <w:qFormat/>
    <w:rsid w:val="00115F42"/>
    <w:pPr>
      <w:ind w:left="720"/>
      <w:contextualSpacing/>
    </w:pPr>
  </w:style>
  <w:style w:type="character" w:styleId="IntenseEmphasis">
    <w:name w:val="Intense Emphasis"/>
    <w:basedOn w:val="DefaultParagraphFont"/>
    <w:uiPriority w:val="21"/>
    <w:qFormat/>
    <w:rsid w:val="00115F42"/>
    <w:rPr>
      <w:i/>
      <w:iCs/>
      <w:color w:val="0F4761" w:themeColor="accent1" w:themeShade="BF"/>
    </w:rPr>
  </w:style>
  <w:style w:type="paragraph" w:styleId="IntenseQuote">
    <w:name w:val="Intense Quote"/>
    <w:basedOn w:val="Normal"/>
    <w:next w:val="Normal"/>
    <w:link w:val="IntenseQuoteChar"/>
    <w:uiPriority w:val="30"/>
    <w:qFormat/>
    <w:rsid w:val="00115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F42"/>
    <w:rPr>
      <w:i/>
      <w:iCs/>
      <w:color w:val="0F4761" w:themeColor="accent1" w:themeShade="BF"/>
    </w:rPr>
  </w:style>
  <w:style w:type="character" w:styleId="IntenseReference">
    <w:name w:val="Intense Reference"/>
    <w:basedOn w:val="DefaultParagraphFont"/>
    <w:uiPriority w:val="32"/>
    <w:qFormat/>
    <w:rsid w:val="00115F42"/>
    <w:rPr>
      <w:b/>
      <w:bCs/>
      <w:smallCaps/>
      <w:color w:val="0F4761" w:themeColor="accent1" w:themeShade="BF"/>
      <w:spacing w:val="5"/>
    </w:rPr>
  </w:style>
  <w:style w:type="character" w:styleId="Hyperlink">
    <w:name w:val="Hyperlink"/>
    <w:basedOn w:val="DefaultParagraphFont"/>
    <w:uiPriority w:val="99"/>
    <w:unhideWhenUsed/>
    <w:rsid w:val="00FF7E29"/>
    <w:rPr>
      <w:color w:val="467886" w:themeColor="hyperlink"/>
      <w:u w:val="single"/>
    </w:rPr>
  </w:style>
  <w:style w:type="character" w:customStyle="1" w:styleId="UnresolvedMention1">
    <w:name w:val="Unresolved Mention1"/>
    <w:basedOn w:val="DefaultParagraphFont"/>
    <w:uiPriority w:val="99"/>
    <w:semiHidden/>
    <w:unhideWhenUsed/>
    <w:rsid w:val="00FF7E29"/>
    <w:rPr>
      <w:color w:val="605E5C"/>
      <w:shd w:val="clear" w:color="auto" w:fill="E1DFDD"/>
    </w:rPr>
  </w:style>
  <w:style w:type="paragraph" w:styleId="Header">
    <w:name w:val="header"/>
    <w:basedOn w:val="Normal"/>
    <w:link w:val="HeaderChar"/>
    <w:uiPriority w:val="99"/>
    <w:unhideWhenUsed/>
    <w:rsid w:val="002C5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BB"/>
  </w:style>
  <w:style w:type="paragraph" w:styleId="Footer">
    <w:name w:val="footer"/>
    <w:basedOn w:val="Normal"/>
    <w:link w:val="FooterChar"/>
    <w:uiPriority w:val="99"/>
    <w:unhideWhenUsed/>
    <w:rsid w:val="002C5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BB"/>
  </w:style>
  <w:style w:type="paragraph" w:styleId="Revision">
    <w:name w:val="Revision"/>
    <w:hidden/>
    <w:uiPriority w:val="99"/>
    <w:semiHidden/>
    <w:rsid w:val="005C1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nema.gov.au/about-us/policies/strategies-and-frameworks/disaster-risk-redu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4EBDBB-4C9E-4344-B6BB-4FA0440C6136}" type="doc">
      <dgm:prSet loTypeId="urn:microsoft.com/office/officeart/2005/8/layout/hierarchy2#1" loCatId="hierarchy" qsTypeId="urn:microsoft.com/office/officeart/2005/8/quickstyle/simple1" qsCatId="simple" csTypeId="urn:microsoft.com/office/officeart/2005/8/colors/accent1_2" csCatId="accent1" phldr="1"/>
      <dgm:spPr/>
      <dgm:t>
        <a:bodyPr/>
        <a:lstStyle/>
        <a:p>
          <a:endParaRPr lang="en-US"/>
        </a:p>
      </dgm:t>
    </dgm:pt>
    <dgm:pt modelId="{02D4C5AE-7CDF-4236-843B-31C8FBB14B9B}">
      <dgm:prSet phldrT="[Text]" custT="1"/>
      <dgm:spPr/>
      <dgm:t>
        <a:bodyPr/>
        <a:lstStyle/>
        <a:p>
          <a:r>
            <a:rPr lang="el-GR" sz="950" b="1">
              <a:solidFill>
                <a:schemeClr val="bg1"/>
              </a:solidFill>
              <a:latin typeface="Noto Sans" panose="020B0502040504020204" pitchFamily="34" charset="0"/>
              <a:ea typeface="Noto Sans" panose="020B0502040504020204" pitchFamily="34" charset="0"/>
              <a:cs typeface="Noto Sans" panose="020B0502040504020204" pitchFamily="34" charset="0"/>
            </a:rPr>
            <a:t>Το Πλαίσιο </a:t>
          </a:r>
          <a:r>
            <a:rPr lang="en-AU" sz="950" b="1">
              <a:solidFill>
                <a:schemeClr val="bg1"/>
              </a:solidFill>
              <a:latin typeface="Noto Sans" panose="020B0502040504020204" pitchFamily="34" charset="0"/>
              <a:ea typeface="Noto Sans" panose="020B0502040504020204" pitchFamily="34" charset="0"/>
              <a:cs typeface="Noto Sans" panose="020B0502040504020204" pitchFamily="34" charset="0"/>
            </a:rPr>
            <a:t>Sendai </a:t>
          </a:r>
          <a:r>
            <a:rPr lang="el-GR" sz="950" b="1">
              <a:solidFill>
                <a:schemeClr val="bg1"/>
              </a:solidFill>
              <a:latin typeface="Noto Sans" panose="020B0502040504020204" pitchFamily="34" charset="0"/>
              <a:ea typeface="Noto Sans" panose="020B0502040504020204" pitchFamily="34" charset="0"/>
              <a:cs typeface="Noto Sans" panose="020B0502040504020204" pitchFamily="34" charset="0"/>
            </a:rPr>
            <a:t>για τη Μείωση του Κινδύνου Καταστροφών</a:t>
          </a:r>
          <a:endParaRPr lang="en-AU" sz="950" b="1">
            <a:solidFill>
              <a:schemeClr val="bg1"/>
            </a:solidFill>
            <a:latin typeface="Noto Sans" panose="020B0502040504020204" pitchFamily="34" charset="0"/>
            <a:ea typeface="Noto Sans" panose="020B0502040504020204" pitchFamily="34" charset="0"/>
            <a:cs typeface="Noto Sans" panose="020B0502040504020204" pitchFamily="34" charset="0"/>
          </a:endParaRPr>
        </a:p>
        <a:p>
          <a:r>
            <a:rPr lang="en-US" sz="950" b="1">
              <a:solidFill>
                <a:schemeClr val="bg1"/>
              </a:solidFill>
              <a:latin typeface="Noto Sans" panose="020B0502040504020204" pitchFamily="34" charset="0"/>
              <a:ea typeface="Noto Sans" panose="020B0502040504020204" pitchFamily="34" charset="0"/>
              <a:cs typeface="Noto Sans" panose="020B0502040504020204" pitchFamily="34" charset="0"/>
            </a:rPr>
            <a:t>2015-2030 </a:t>
          </a:r>
        </a:p>
      </dgm:t>
    </dgm:pt>
    <dgm:pt modelId="{671A9978-292A-4A8C-B4B9-C45B029E2C73}" type="parTrans" cxnId="{713D1BAE-3C38-46D5-8B38-6FE70670FF67}">
      <dgm:prSet/>
      <dgm:spPr/>
      <dgm:t>
        <a:bodyPr/>
        <a:lstStyle/>
        <a:p>
          <a:endParaRPr lang="en-US"/>
        </a:p>
      </dgm:t>
    </dgm:pt>
    <dgm:pt modelId="{CC9ED4BA-A6FC-4BDD-98D8-A1E6C3152AC2}" type="sibTrans" cxnId="{713D1BAE-3C38-46D5-8B38-6FE70670FF67}">
      <dgm:prSet/>
      <dgm:spPr/>
      <dgm:t>
        <a:bodyPr/>
        <a:lstStyle/>
        <a:p>
          <a:endParaRPr lang="en-US"/>
        </a:p>
      </dgm:t>
    </dgm:pt>
    <dgm:pt modelId="{433ECCE0-F9C8-4C24-9F07-CA77DCFD03BF}">
      <dgm:prSet phldrT="[Text]" custT="1"/>
      <dgm:spPr/>
      <dgm:t>
        <a:bodyPr/>
        <a:lstStyle/>
        <a:p>
          <a:r>
            <a:rPr lang="el-GR" sz="950" b="1">
              <a:solidFill>
                <a:schemeClr val="bg1"/>
              </a:solidFill>
              <a:latin typeface="Noto Sans" panose="020B0502040504020204" pitchFamily="34" charset="0"/>
              <a:ea typeface="Noto Sans" panose="020B0502040504020204" pitchFamily="34" charset="0"/>
              <a:cs typeface="Noto Sans" panose="020B0502040504020204" pitchFamily="34" charset="0"/>
            </a:rPr>
            <a:t>Εθνικό Πλαίσιο για τη Μείωση του Κινδύνου Καταστροφών</a:t>
          </a:r>
          <a:endParaRPr lang="en-US" sz="950" b="1">
            <a:solidFill>
              <a:schemeClr val="bg1"/>
            </a:solidFill>
            <a:latin typeface="Noto Sans" panose="020B0502040504020204" pitchFamily="34" charset="0"/>
            <a:ea typeface="Noto Sans" panose="020B0502040504020204" pitchFamily="34" charset="0"/>
            <a:cs typeface="Noto Sans" panose="020B0502040504020204" pitchFamily="34" charset="0"/>
          </a:endParaRPr>
        </a:p>
      </dgm:t>
    </dgm:pt>
    <dgm:pt modelId="{6D5A4C7A-1E05-4C1D-8796-8CEDB626A78F}" type="parTrans" cxnId="{3C556844-7AC8-4BF3-82D1-7A3F0103C3C7}">
      <dgm:prSet/>
      <dgm:spPr/>
      <dgm:t>
        <a:bodyPr/>
        <a:lstStyle/>
        <a:p>
          <a:endParaRPr lang="en-US"/>
        </a:p>
      </dgm:t>
    </dgm:pt>
    <dgm:pt modelId="{2CBCF42C-28F1-4E2E-A836-897FCC4DFC66}" type="sibTrans" cxnId="{3C556844-7AC8-4BF3-82D1-7A3F0103C3C7}">
      <dgm:prSet/>
      <dgm:spPr/>
      <dgm:t>
        <a:bodyPr/>
        <a:lstStyle/>
        <a:p>
          <a:endParaRPr lang="en-US"/>
        </a:p>
      </dgm:t>
    </dgm:pt>
    <dgm:pt modelId="{D26AFC5F-14ED-4A7F-B360-635299D5AED6}">
      <dgm:prSet phldrT="[Text]" custT="1"/>
      <dgm:spPr/>
      <dgm:t>
        <a:bodyPr/>
        <a:lstStyle/>
        <a:p>
          <a:r>
            <a:rPr lang="el-GR" sz="950" b="1">
              <a:solidFill>
                <a:schemeClr val="bg1"/>
              </a:solidFill>
              <a:latin typeface="Noto Sans" panose="020B0502040504020204" pitchFamily="34" charset="0"/>
              <a:ea typeface="Noto Sans" panose="020B0502040504020204" pitchFamily="34" charset="0"/>
              <a:cs typeface="Noto Sans" panose="020B0502040504020204" pitchFamily="34" charset="0"/>
            </a:rPr>
            <a:t>Πρότυπο Πρακτικής </a:t>
          </a:r>
          <a:r>
            <a:rPr lang="en-AU" sz="950" b="1">
              <a:solidFill>
                <a:schemeClr val="bg1"/>
              </a:solidFill>
              <a:latin typeface="Noto Sans" panose="020B0502040504020204" pitchFamily="34" charset="0"/>
              <a:ea typeface="Noto Sans" panose="020B0502040504020204" pitchFamily="34" charset="0"/>
              <a:cs typeface="Noto Sans" panose="020B0502040504020204" pitchFamily="34" charset="0"/>
            </a:rPr>
            <a:t>NDIS </a:t>
          </a:r>
          <a:r>
            <a:rPr lang="el-GR" sz="950" b="1">
              <a:solidFill>
                <a:schemeClr val="bg1"/>
              </a:solidFill>
              <a:latin typeface="Noto Sans" panose="020B0502040504020204" pitchFamily="34" charset="0"/>
              <a:ea typeface="Noto Sans" panose="020B0502040504020204" pitchFamily="34" charset="0"/>
              <a:cs typeface="Noto Sans" panose="020B0502040504020204" pitchFamily="34" charset="0"/>
            </a:rPr>
            <a:t>για τη Διαχείριση Έκτακτης Ανάγκης και Καταστροφών</a:t>
          </a:r>
          <a:endParaRPr lang="en-AU" sz="950" b="1">
            <a:solidFill>
              <a:schemeClr val="bg1"/>
            </a:solidFill>
            <a:latin typeface="Noto Sans" panose="020B0502040504020204" pitchFamily="34" charset="0"/>
            <a:ea typeface="Noto Sans" panose="020B0502040504020204" pitchFamily="34" charset="0"/>
            <a:cs typeface="Noto Sans" panose="020B0502040504020204" pitchFamily="34" charset="0"/>
          </a:endParaRPr>
        </a:p>
        <a:p>
          <a:endParaRPr lang="en-AU" sz="600" b="1">
            <a:solidFill>
              <a:schemeClr val="bg1"/>
            </a:solidFill>
            <a:latin typeface="Noto Sans" panose="020B0502040504020204" pitchFamily="34" charset="0"/>
            <a:ea typeface="Noto Sans" panose="020B0502040504020204" pitchFamily="34" charset="0"/>
            <a:cs typeface="Noto Sans" panose="020B0502040504020204" pitchFamily="34" charset="0"/>
          </a:endParaRPr>
        </a:p>
        <a:p>
          <a:r>
            <a:rPr lang="el-GR" sz="950" b="1">
              <a:solidFill>
                <a:schemeClr val="bg1"/>
              </a:solidFill>
              <a:latin typeface="Noto Sans" panose="020B0502040504020204" pitchFamily="34" charset="0"/>
              <a:ea typeface="Noto Sans" panose="020B0502040504020204" pitchFamily="34" charset="0"/>
              <a:cs typeface="Noto Sans" panose="020B0502040504020204" pitchFamily="34" charset="0"/>
            </a:rPr>
            <a:t>Υποχρεώσεις </a:t>
          </a:r>
          <a:r>
            <a:rPr lang="en-AU" sz="950" b="1">
              <a:solidFill>
                <a:schemeClr val="bg1"/>
              </a:solidFill>
              <a:latin typeface="Noto Sans" panose="020B0502040504020204" pitchFamily="34" charset="0"/>
              <a:ea typeface="Noto Sans" panose="020B0502040504020204" pitchFamily="34" charset="0"/>
              <a:cs typeface="Noto Sans" panose="020B0502040504020204" pitchFamily="34" charset="0"/>
            </a:rPr>
            <a:t>WHS</a:t>
          </a:r>
        </a:p>
        <a:p>
          <a:r>
            <a:rPr lang="el-GR" sz="950" b="1">
              <a:solidFill>
                <a:schemeClr val="bg1"/>
              </a:solidFill>
              <a:latin typeface="Noto Sans" panose="020B0502040504020204" pitchFamily="34" charset="0"/>
              <a:ea typeface="Noto Sans" panose="020B0502040504020204" pitchFamily="34" charset="0"/>
              <a:cs typeface="Noto Sans" panose="020B0502040504020204" pitchFamily="34" charset="0"/>
            </a:rPr>
            <a:t> (Υγείας και Ασφάλειας στην Εργασία)</a:t>
          </a:r>
          <a:endParaRPr lang="en-US" sz="950" b="1">
            <a:solidFill>
              <a:schemeClr val="bg1"/>
            </a:solidFill>
            <a:latin typeface="Noto Sans" panose="020B0502040504020204" pitchFamily="34" charset="0"/>
            <a:ea typeface="Noto Sans" panose="020B0502040504020204" pitchFamily="34" charset="0"/>
            <a:cs typeface="Noto Sans" panose="020B0502040504020204" pitchFamily="34" charset="0"/>
          </a:endParaRPr>
        </a:p>
      </dgm:t>
    </dgm:pt>
    <dgm:pt modelId="{A51CC7E1-3323-4EBE-876B-7F56C5C4E05F}" type="parTrans" cxnId="{2559AA15-130E-4406-8FAC-0382B155C593}">
      <dgm:prSet/>
      <dgm:spPr/>
      <dgm:t>
        <a:bodyPr/>
        <a:lstStyle/>
        <a:p>
          <a:endParaRPr lang="en-US"/>
        </a:p>
      </dgm:t>
    </dgm:pt>
    <dgm:pt modelId="{C0DBB13A-AF08-46C9-AD4B-E7E8B3F4AC28}" type="sibTrans" cxnId="{2559AA15-130E-4406-8FAC-0382B155C593}">
      <dgm:prSet/>
      <dgm:spPr/>
      <dgm:t>
        <a:bodyPr/>
        <a:lstStyle/>
        <a:p>
          <a:endParaRPr lang="en-US"/>
        </a:p>
      </dgm:t>
    </dgm:pt>
    <dgm:pt modelId="{3606A2E4-2EAF-4CCE-ABB4-61A0312A2307}" type="pres">
      <dgm:prSet presAssocID="{184EBDBB-4C9E-4344-B6BB-4FA0440C6136}" presName="diagram" presStyleCnt="0">
        <dgm:presLayoutVars>
          <dgm:chPref val="1"/>
          <dgm:dir/>
          <dgm:animOne val="branch"/>
          <dgm:animLvl val="lvl"/>
          <dgm:resizeHandles val="exact"/>
        </dgm:presLayoutVars>
      </dgm:prSet>
      <dgm:spPr/>
    </dgm:pt>
    <dgm:pt modelId="{7BA622A8-AEF0-4A51-BF5D-283F7B3B0391}" type="pres">
      <dgm:prSet presAssocID="{02D4C5AE-7CDF-4236-843B-31C8FBB14B9B}" presName="root1" presStyleCnt="0"/>
      <dgm:spPr/>
    </dgm:pt>
    <dgm:pt modelId="{940D711F-4FA8-4690-900D-F460BEE49ECE}" type="pres">
      <dgm:prSet presAssocID="{02D4C5AE-7CDF-4236-843B-31C8FBB14B9B}" presName="LevelOneTextNode" presStyleLbl="node0" presStyleIdx="0" presStyleCnt="1" custScaleY="199867">
        <dgm:presLayoutVars>
          <dgm:chPref val="3"/>
        </dgm:presLayoutVars>
      </dgm:prSet>
      <dgm:spPr/>
    </dgm:pt>
    <dgm:pt modelId="{340FA2B1-B452-4F28-8A08-BCB22FA4415A}" type="pres">
      <dgm:prSet presAssocID="{02D4C5AE-7CDF-4236-843B-31C8FBB14B9B}" presName="level2hierChild" presStyleCnt="0"/>
      <dgm:spPr/>
    </dgm:pt>
    <dgm:pt modelId="{ED1EF01D-9B67-4BBF-8C6A-9914DEADDFDD}" type="pres">
      <dgm:prSet presAssocID="{6D5A4C7A-1E05-4C1D-8796-8CEDB626A78F}" presName="conn2-1" presStyleLbl="parChTrans1D2" presStyleIdx="0" presStyleCnt="1"/>
      <dgm:spPr/>
    </dgm:pt>
    <dgm:pt modelId="{7BE6CFE2-1559-4C07-B649-8BCF90441937}" type="pres">
      <dgm:prSet presAssocID="{6D5A4C7A-1E05-4C1D-8796-8CEDB626A78F}" presName="connTx" presStyleLbl="parChTrans1D2" presStyleIdx="0" presStyleCnt="1"/>
      <dgm:spPr/>
    </dgm:pt>
    <dgm:pt modelId="{CD13E656-8F4C-4280-9D7C-13F92439F674}" type="pres">
      <dgm:prSet presAssocID="{433ECCE0-F9C8-4C24-9F07-CA77DCFD03BF}" presName="root2" presStyleCnt="0"/>
      <dgm:spPr/>
    </dgm:pt>
    <dgm:pt modelId="{E95806AA-07FA-4145-9F5F-E5F1240919BC}" type="pres">
      <dgm:prSet presAssocID="{433ECCE0-F9C8-4C24-9F07-CA77DCFD03BF}" presName="LevelTwoTextNode" presStyleLbl="node2" presStyleIdx="0" presStyleCnt="1" custScaleY="199867">
        <dgm:presLayoutVars>
          <dgm:chPref val="3"/>
        </dgm:presLayoutVars>
      </dgm:prSet>
      <dgm:spPr/>
    </dgm:pt>
    <dgm:pt modelId="{4C5126F0-71E2-496B-841C-7047820D5F93}" type="pres">
      <dgm:prSet presAssocID="{433ECCE0-F9C8-4C24-9F07-CA77DCFD03BF}" presName="level3hierChild" presStyleCnt="0"/>
      <dgm:spPr/>
    </dgm:pt>
    <dgm:pt modelId="{A20474EB-FDB7-4AA2-B2BC-D7E4AF65A521}" type="pres">
      <dgm:prSet presAssocID="{A51CC7E1-3323-4EBE-876B-7F56C5C4E05F}" presName="conn2-1" presStyleLbl="parChTrans1D3" presStyleIdx="0" presStyleCnt="1"/>
      <dgm:spPr/>
    </dgm:pt>
    <dgm:pt modelId="{78DD6FD6-AD51-4244-ACCB-0BA8589AF1A4}" type="pres">
      <dgm:prSet presAssocID="{A51CC7E1-3323-4EBE-876B-7F56C5C4E05F}" presName="connTx" presStyleLbl="parChTrans1D3" presStyleIdx="0" presStyleCnt="1"/>
      <dgm:spPr/>
    </dgm:pt>
    <dgm:pt modelId="{3522B871-F2D3-4834-86B0-90066E3CBECD}" type="pres">
      <dgm:prSet presAssocID="{D26AFC5F-14ED-4A7F-B360-635299D5AED6}" presName="root2" presStyleCnt="0"/>
      <dgm:spPr/>
    </dgm:pt>
    <dgm:pt modelId="{078EF66F-B650-402B-B7D5-860B6F500CB0}" type="pres">
      <dgm:prSet presAssocID="{D26AFC5F-14ED-4A7F-B360-635299D5AED6}" presName="LevelTwoTextNode" presStyleLbl="node3" presStyleIdx="0" presStyleCnt="1" custScaleY="199867">
        <dgm:presLayoutVars>
          <dgm:chPref val="3"/>
        </dgm:presLayoutVars>
      </dgm:prSet>
      <dgm:spPr/>
    </dgm:pt>
    <dgm:pt modelId="{903B6BDC-747C-4CC5-A163-2F179B8ACE47}" type="pres">
      <dgm:prSet presAssocID="{D26AFC5F-14ED-4A7F-B360-635299D5AED6}" presName="level3hierChild" presStyleCnt="0"/>
      <dgm:spPr/>
    </dgm:pt>
  </dgm:ptLst>
  <dgm:cxnLst>
    <dgm:cxn modelId="{0F89EB0B-04BC-42B7-B888-48026B60F2A5}" type="presOf" srcId="{184EBDBB-4C9E-4344-B6BB-4FA0440C6136}" destId="{3606A2E4-2EAF-4CCE-ABB4-61A0312A2307}" srcOrd="0" destOrd="0" presId="urn:microsoft.com/office/officeart/2005/8/layout/hierarchy2#1"/>
    <dgm:cxn modelId="{2559AA15-130E-4406-8FAC-0382B155C593}" srcId="{433ECCE0-F9C8-4C24-9F07-CA77DCFD03BF}" destId="{D26AFC5F-14ED-4A7F-B360-635299D5AED6}" srcOrd="0" destOrd="0" parTransId="{A51CC7E1-3323-4EBE-876B-7F56C5C4E05F}" sibTransId="{C0DBB13A-AF08-46C9-AD4B-E7E8B3F4AC28}"/>
    <dgm:cxn modelId="{B040C63A-00DE-4EF9-BB83-B89D944EDCCF}" type="presOf" srcId="{6D5A4C7A-1E05-4C1D-8796-8CEDB626A78F}" destId="{ED1EF01D-9B67-4BBF-8C6A-9914DEADDFDD}" srcOrd="0" destOrd="0" presId="urn:microsoft.com/office/officeart/2005/8/layout/hierarchy2#1"/>
    <dgm:cxn modelId="{511DBC3C-2DEA-4CAB-A04C-ABBE22F47356}" type="presOf" srcId="{433ECCE0-F9C8-4C24-9F07-CA77DCFD03BF}" destId="{E95806AA-07FA-4145-9F5F-E5F1240919BC}" srcOrd="0" destOrd="0" presId="urn:microsoft.com/office/officeart/2005/8/layout/hierarchy2#1"/>
    <dgm:cxn modelId="{3C556844-7AC8-4BF3-82D1-7A3F0103C3C7}" srcId="{02D4C5AE-7CDF-4236-843B-31C8FBB14B9B}" destId="{433ECCE0-F9C8-4C24-9F07-CA77DCFD03BF}" srcOrd="0" destOrd="0" parTransId="{6D5A4C7A-1E05-4C1D-8796-8CEDB626A78F}" sibTransId="{2CBCF42C-28F1-4E2E-A836-897FCC4DFC66}"/>
    <dgm:cxn modelId="{89FAA873-BFF2-478D-949B-827E2EAE14E2}" type="presOf" srcId="{02D4C5AE-7CDF-4236-843B-31C8FBB14B9B}" destId="{940D711F-4FA8-4690-900D-F460BEE49ECE}" srcOrd="0" destOrd="0" presId="urn:microsoft.com/office/officeart/2005/8/layout/hierarchy2#1"/>
    <dgm:cxn modelId="{2706A6A9-0814-4623-9384-B2F6546214AD}" type="presOf" srcId="{D26AFC5F-14ED-4A7F-B360-635299D5AED6}" destId="{078EF66F-B650-402B-B7D5-860B6F500CB0}" srcOrd="0" destOrd="0" presId="urn:microsoft.com/office/officeart/2005/8/layout/hierarchy2#1"/>
    <dgm:cxn modelId="{713D1BAE-3C38-46D5-8B38-6FE70670FF67}" srcId="{184EBDBB-4C9E-4344-B6BB-4FA0440C6136}" destId="{02D4C5AE-7CDF-4236-843B-31C8FBB14B9B}" srcOrd="0" destOrd="0" parTransId="{671A9978-292A-4A8C-B4B9-C45B029E2C73}" sibTransId="{CC9ED4BA-A6FC-4BDD-98D8-A1E6C3152AC2}"/>
    <dgm:cxn modelId="{207DD3B4-6808-43B2-9F63-C02085F49C53}" type="presOf" srcId="{6D5A4C7A-1E05-4C1D-8796-8CEDB626A78F}" destId="{7BE6CFE2-1559-4C07-B649-8BCF90441937}" srcOrd="1" destOrd="0" presId="urn:microsoft.com/office/officeart/2005/8/layout/hierarchy2#1"/>
    <dgm:cxn modelId="{97CAD9B7-D04A-4DC7-9F0F-1C69EF6FB366}" type="presOf" srcId="{A51CC7E1-3323-4EBE-876B-7F56C5C4E05F}" destId="{A20474EB-FDB7-4AA2-B2BC-D7E4AF65A521}" srcOrd="0" destOrd="0" presId="urn:microsoft.com/office/officeart/2005/8/layout/hierarchy2#1"/>
    <dgm:cxn modelId="{A39D58E7-76FE-42AD-A114-9AA6EEF227C9}" type="presOf" srcId="{A51CC7E1-3323-4EBE-876B-7F56C5C4E05F}" destId="{78DD6FD6-AD51-4244-ACCB-0BA8589AF1A4}" srcOrd="1" destOrd="0" presId="urn:microsoft.com/office/officeart/2005/8/layout/hierarchy2#1"/>
    <dgm:cxn modelId="{550D5952-D24F-4B7A-AFE2-92638BD6D4A6}" type="presParOf" srcId="{3606A2E4-2EAF-4CCE-ABB4-61A0312A2307}" destId="{7BA622A8-AEF0-4A51-BF5D-283F7B3B0391}" srcOrd="0" destOrd="0" presId="urn:microsoft.com/office/officeart/2005/8/layout/hierarchy2#1"/>
    <dgm:cxn modelId="{5099ADFE-A1BF-458C-B2F3-15076892DD88}" type="presParOf" srcId="{7BA622A8-AEF0-4A51-BF5D-283F7B3B0391}" destId="{940D711F-4FA8-4690-900D-F460BEE49ECE}" srcOrd="0" destOrd="0" presId="urn:microsoft.com/office/officeart/2005/8/layout/hierarchy2#1"/>
    <dgm:cxn modelId="{CB9DB43A-BAA0-4651-A496-046C63BCBD9C}" type="presParOf" srcId="{7BA622A8-AEF0-4A51-BF5D-283F7B3B0391}" destId="{340FA2B1-B452-4F28-8A08-BCB22FA4415A}" srcOrd="1" destOrd="0" presId="urn:microsoft.com/office/officeart/2005/8/layout/hierarchy2#1"/>
    <dgm:cxn modelId="{3364E597-BC15-45C5-A1A6-10C2C65D7472}" type="presParOf" srcId="{340FA2B1-B452-4F28-8A08-BCB22FA4415A}" destId="{ED1EF01D-9B67-4BBF-8C6A-9914DEADDFDD}" srcOrd="0" destOrd="0" presId="urn:microsoft.com/office/officeart/2005/8/layout/hierarchy2#1"/>
    <dgm:cxn modelId="{87636600-003E-4A30-BC34-F7259A0D22C3}" type="presParOf" srcId="{ED1EF01D-9B67-4BBF-8C6A-9914DEADDFDD}" destId="{7BE6CFE2-1559-4C07-B649-8BCF90441937}" srcOrd="0" destOrd="0" presId="urn:microsoft.com/office/officeart/2005/8/layout/hierarchy2#1"/>
    <dgm:cxn modelId="{B4480A46-3799-4F48-9E60-FFF748820CBF}" type="presParOf" srcId="{340FA2B1-B452-4F28-8A08-BCB22FA4415A}" destId="{CD13E656-8F4C-4280-9D7C-13F92439F674}" srcOrd="1" destOrd="0" presId="urn:microsoft.com/office/officeart/2005/8/layout/hierarchy2#1"/>
    <dgm:cxn modelId="{8557E458-FB13-457F-9FB3-99A02306EB5E}" type="presParOf" srcId="{CD13E656-8F4C-4280-9D7C-13F92439F674}" destId="{E95806AA-07FA-4145-9F5F-E5F1240919BC}" srcOrd="0" destOrd="0" presId="urn:microsoft.com/office/officeart/2005/8/layout/hierarchy2#1"/>
    <dgm:cxn modelId="{4C587EE0-A2AD-430D-8ECE-969D2032FF32}" type="presParOf" srcId="{CD13E656-8F4C-4280-9D7C-13F92439F674}" destId="{4C5126F0-71E2-496B-841C-7047820D5F93}" srcOrd="1" destOrd="0" presId="urn:microsoft.com/office/officeart/2005/8/layout/hierarchy2#1"/>
    <dgm:cxn modelId="{473BCE46-7556-4422-8660-DDC44FDDB1DF}" type="presParOf" srcId="{4C5126F0-71E2-496B-841C-7047820D5F93}" destId="{A20474EB-FDB7-4AA2-B2BC-D7E4AF65A521}" srcOrd="0" destOrd="0" presId="urn:microsoft.com/office/officeart/2005/8/layout/hierarchy2#1"/>
    <dgm:cxn modelId="{51424641-E0EF-4C17-A2AF-B7F7F47584E3}" type="presParOf" srcId="{A20474EB-FDB7-4AA2-B2BC-D7E4AF65A521}" destId="{78DD6FD6-AD51-4244-ACCB-0BA8589AF1A4}" srcOrd="0" destOrd="0" presId="urn:microsoft.com/office/officeart/2005/8/layout/hierarchy2#1"/>
    <dgm:cxn modelId="{9B099C01-741C-435B-9348-8E4E190D6151}" type="presParOf" srcId="{4C5126F0-71E2-496B-841C-7047820D5F93}" destId="{3522B871-F2D3-4834-86B0-90066E3CBECD}" srcOrd="1" destOrd="0" presId="urn:microsoft.com/office/officeart/2005/8/layout/hierarchy2#1"/>
    <dgm:cxn modelId="{C9BDF1FC-6467-4D2E-94BB-8933123B41F1}" type="presParOf" srcId="{3522B871-F2D3-4834-86B0-90066E3CBECD}" destId="{078EF66F-B650-402B-B7D5-860B6F500CB0}" srcOrd="0" destOrd="0" presId="urn:microsoft.com/office/officeart/2005/8/layout/hierarchy2#1"/>
    <dgm:cxn modelId="{CCC282E8-FD3C-42A7-8C68-27C37853FE8D}" type="presParOf" srcId="{3522B871-F2D3-4834-86B0-90066E3CBECD}" destId="{903B6BDC-747C-4CC5-A163-2F179B8ACE47}" srcOrd="1" destOrd="0" presId="urn:microsoft.com/office/officeart/2005/8/layout/hierarchy2#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D711F-4FA8-4690-900D-F460BEE49ECE}">
      <dsp:nvSpPr>
        <dsp:cNvPr id="0" name=""/>
        <dsp:cNvSpPr/>
      </dsp:nvSpPr>
      <dsp:spPr>
        <a:xfrm>
          <a:off x="5652" y="78193"/>
          <a:ext cx="1521024" cy="1520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l-GR"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Το Πλαίσιο </a:t>
          </a:r>
          <a:r>
            <a:rPr lang="en-AU"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Sendai </a:t>
          </a:r>
          <a:r>
            <a:rPr lang="el-GR"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για τη Μείωση του Κινδύνου Καταστροφών</a:t>
          </a:r>
          <a:endParaRPr lang="en-AU" sz="950" b="1" kern="1200">
            <a:solidFill>
              <a:schemeClr val="bg1"/>
            </a:solidFill>
            <a:latin typeface="Noto Sans" panose="020B0502040504020204" pitchFamily="34" charset="0"/>
            <a:ea typeface="Noto Sans" panose="020B0502040504020204" pitchFamily="34" charset="0"/>
            <a:cs typeface="Noto Sans" panose="020B0502040504020204" pitchFamily="34" charset="0"/>
          </a:endParaRPr>
        </a:p>
        <a:p>
          <a:pPr marL="0" lvl="0" indent="0" algn="ctr" defTabSz="422275">
            <a:lnSpc>
              <a:spcPct val="90000"/>
            </a:lnSpc>
            <a:spcBef>
              <a:spcPct val="0"/>
            </a:spcBef>
            <a:spcAft>
              <a:spcPct val="35000"/>
            </a:spcAft>
            <a:buNone/>
          </a:pPr>
          <a:r>
            <a:rPr lang="en-US"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2015-2030 </a:t>
          </a:r>
        </a:p>
      </dsp:txBody>
      <dsp:txXfrm>
        <a:off x="50172" y="122713"/>
        <a:ext cx="1431984" cy="1430973"/>
      </dsp:txXfrm>
    </dsp:sp>
    <dsp:sp modelId="{ED1EF01D-9B67-4BBF-8C6A-9914DEADDFDD}">
      <dsp:nvSpPr>
        <dsp:cNvPr id="0" name=""/>
        <dsp:cNvSpPr/>
      </dsp:nvSpPr>
      <dsp:spPr>
        <a:xfrm>
          <a:off x="1526677" y="797370"/>
          <a:ext cx="608409" cy="81658"/>
        </a:xfrm>
        <a:custGeom>
          <a:avLst/>
          <a:gdLst/>
          <a:ahLst/>
          <a:cxnLst/>
          <a:rect l="0" t="0" r="0" b="0"/>
          <a:pathLst>
            <a:path>
              <a:moveTo>
                <a:pt x="0" y="40829"/>
              </a:moveTo>
              <a:lnTo>
                <a:pt x="608409" y="40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15672" y="822989"/>
        <a:ext cx="30420" cy="30420"/>
      </dsp:txXfrm>
    </dsp:sp>
    <dsp:sp modelId="{E95806AA-07FA-4145-9F5F-E5F1240919BC}">
      <dsp:nvSpPr>
        <dsp:cNvPr id="0" name=""/>
        <dsp:cNvSpPr/>
      </dsp:nvSpPr>
      <dsp:spPr>
        <a:xfrm>
          <a:off x="2135087" y="78193"/>
          <a:ext cx="1521024" cy="1520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l-GR"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Εθνικό Πλαίσιο για τη Μείωση του Κινδύνου Καταστροφών</a:t>
          </a:r>
          <a:endParaRPr lang="en-US" sz="950" b="1" kern="1200">
            <a:solidFill>
              <a:schemeClr val="bg1"/>
            </a:solidFill>
            <a:latin typeface="Noto Sans" panose="020B0502040504020204" pitchFamily="34" charset="0"/>
            <a:ea typeface="Noto Sans" panose="020B0502040504020204" pitchFamily="34" charset="0"/>
            <a:cs typeface="Noto Sans" panose="020B0502040504020204" pitchFamily="34" charset="0"/>
          </a:endParaRPr>
        </a:p>
      </dsp:txBody>
      <dsp:txXfrm>
        <a:off x="2179607" y="122713"/>
        <a:ext cx="1431984" cy="1430973"/>
      </dsp:txXfrm>
    </dsp:sp>
    <dsp:sp modelId="{A20474EB-FDB7-4AA2-B2BC-D7E4AF65A521}">
      <dsp:nvSpPr>
        <dsp:cNvPr id="0" name=""/>
        <dsp:cNvSpPr/>
      </dsp:nvSpPr>
      <dsp:spPr>
        <a:xfrm>
          <a:off x="3656112" y="797370"/>
          <a:ext cx="608409" cy="81658"/>
        </a:xfrm>
        <a:custGeom>
          <a:avLst/>
          <a:gdLst/>
          <a:ahLst/>
          <a:cxnLst/>
          <a:rect l="0" t="0" r="0" b="0"/>
          <a:pathLst>
            <a:path>
              <a:moveTo>
                <a:pt x="0" y="40829"/>
              </a:moveTo>
              <a:lnTo>
                <a:pt x="608409" y="408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945107" y="822989"/>
        <a:ext cx="30420" cy="30420"/>
      </dsp:txXfrm>
    </dsp:sp>
    <dsp:sp modelId="{078EF66F-B650-402B-B7D5-860B6F500CB0}">
      <dsp:nvSpPr>
        <dsp:cNvPr id="0" name=""/>
        <dsp:cNvSpPr/>
      </dsp:nvSpPr>
      <dsp:spPr>
        <a:xfrm>
          <a:off x="4264522" y="78193"/>
          <a:ext cx="1521024" cy="1520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l-GR"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Πρότυπο Πρακτικής </a:t>
          </a:r>
          <a:r>
            <a:rPr lang="en-AU"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NDIS </a:t>
          </a:r>
          <a:r>
            <a:rPr lang="el-GR"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για τη Διαχείριση Έκτακτης Ανάγκης και Καταστροφών</a:t>
          </a:r>
          <a:endParaRPr lang="en-AU" sz="950" b="1" kern="1200">
            <a:solidFill>
              <a:schemeClr val="bg1"/>
            </a:solidFill>
            <a:latin typeface="Noto Sans" panose="020B0502040504020204" pitchFamily="34" charset="0"/>
            <a:ea typeface="Noto Sans" panose="020B0502040504020204" pitchFamily="34" charset="0"/>
            <a:cs typeface="Noto Sans" panose="020B0502040504020204" pitchFamily="34" charset="0"/>
          </a:endParaRPr>
        </a:p>
        <a:p>
          <a:pPr marL="0" lvl="0" indent="0" algn="ctr" defTabSz="422275">
            <a:lnSpc>
              <a:spcPct val="90000"/>
            </a:lnSpc>
            <a:spcBef>
              <a:spcPct val="0"/>
            </a:spcBef>
            <a:spcAft>
              <a:spcPct val="35000"/>
            </a:spcAft>
            <a:buNone/>
          </a:pPr>
          <a:endParaRPr lang="en-AU" sz="600" b="1" kern="1200">
            <a:solidFill>
              <a:schemeClr val="bg1"/>
            </a:solidFill>
            <a:latin typeface="Noto Sans" panose="020B0502040504020204" pitchFamily="34" charset="0"/>
            <a:ea typeface="Noto Sans" panose="020B0502040504020204" pitchFamily="34" charset="0"/>
            <a:cs typeface="Noto Sans" panose="020B0502040504020204" pitchFamily="34" charset="0"/>
          </a:endParaRPr>
        </a:p>
        <a:p>
          <a:pPr marL="0" lvl="0" indent="0" algn="ctr" defTabSz="422275">
            <a:lnSpc>
              <a:spcPct val="90000"/>
            </a:lnSpc>
            <a:spcBef>
              <a:spcPct val="0"/>
            </a:spcBef>
            <a:spcAft>
              <a:spcPct val="35000"/>
            </a:spcAft>
            <a:buNone/>
          </a:pPr>
          <a:r>
            <a:rPr lang="el-GR"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Υποχρεώσεις </a:t>
          </a:r>
          <a:r>
            <a:rPr lang="en-AU"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WHS</a:t>
          </a:r>
        </a:p>
        <a:p>
          <a:pPr marL="0" lvl="0" indent="0" algn="ctr" defTabSz="422275">
            <a:lnSpc>
              <a:spcPct val="90000"/>
            </a:lnSpc>
            <a:spcBef>
              <a:spcPct val="0"/>
            </a:spcBef>
            <a:spcAft>
              <a:spcPct val="35000"/>
            </a:spcAft>
            <a:buNone/>
          </a:pPr>
          <a:r>
            <a:rPr lang="el-GR" sz="950" b="1" kern="1200">
              <a:solidFill>
                <a:schemeClr val="bg1"/>
              </a:solidFill>
              <a:latin typeface="Noto Sans" panose="020B0502040504020204" pitchFamily="34" charset="0"/>
              <a:ea typeface="Noto Sans" panose="020B0502040504020204" pitchFamily="34" charset="0"/>
              <a:cs typeface="Noto Sans" panose="020B0502040504020204" pitchFamily="34" charset="0"/>
            </a:rPr>
            <a:t> (Υγείας και Ασφάλειας στην Εργασία)</a:t>
          </a:r>
          <a:endParaRPr lang="en-US" sz="950" b="1" kern="1200">
            <a:solidFill>
              <a:schemeClr val="bg1"/>
            </a:solidFill>
            <a:latin typeface="Noto Sans" panose="020B0502040504020204" pitchFamily="34" charset="0"/>
            <a:ea typeface="Noto Sans" panose="020B0502040504020204" pitchFamily="34" charset="0"/>
            <a:cs typeface="Noto Sans" panose="020B0502040504020204" pitchFamily="34" charset="0"/>
          </a:endParaRPr>
        </a:p>
      </dsp:txBody>
      <dsp:txXfrm>
        <a:off x="4309042" y="122713"/>
        <a:ext cx="1431984" cy="14309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828</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Συμπεριληπτική Μείωση Κινδύνου Καταστροφών για Άτομα με Αναπηρία και το Πρότυπο </vt:lpstr>
      <vt:lpstr>    Οι υποχρεώσεις μας στους Παρόχους NDIS</vt:lpstr>
      <vt:lpstr>    Εφαρμογή της DIDRR και του Προτύπου Πρακτικής</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12</cp:revision>
  <dcterms:created xsi:type="dcterms:W3CDTF">2024-06-03T14:09:00Z</dcterms:created>
  <dcterms:modified xsi:type="dcterms:W3CDTF">2024-06-06T08:44:00Z</dcterms:modified>
</cp:coreProperties>
</file>