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C5645F" w14:textId="72AA9715" w:rsidR="00974FCC" w:rsidRPr="009D5E12" w:rsidRDefault="007604C5" w:rsidP="00A651FC">
      <w:pPr>
        <w:pStyle w:val="Heading1"/>
        <w:spacing w:after="200"/>
        <w:rPr>
          <w:rFonts w:cs="Nirmala UI"/>
          <w:lang w:val="en-AU"/>
        </w:rPr>
      </w:pPr>
      <w:r w:rsidRPr="0060093D">
        <w:rPr>
          <w:rFonts w:ascii="Nirmala UI" w:eastAsia="Arial Unicode MS" w:hAnsi="Nirmala UI" w:cs="Nirmala UI"/>
          <w:lang w:val="hi"/>
        </w:rPr>
        <w:t>विकलांगता समावेशी आपदा जोखिम न्यूनीकरण (Disability Inclusive Disaster Risk Reduction) और एनडीआईएस अभ्यास मानक</w:t>
      </w:r>
    </w:p>
    <w:p w14:paraId="74A84795" w14:textId="10ACED3C" w:rsidR="006419C5" w:rsidRPr="0060093D" w:rsidRDefault="007604C5" w:rsidP="0091047D">
      <w:pPr>
        <w:spacing w:after="120" w:line="240" w:lineRule="auto"/>
        <w:rPr>
          <w:rFonts w:ascii="Nirmala UI" w:hAnsi="Nirmala UI" w:cs="Nirmala UI"/>
          <w:b/>
          <w:bCs/>
        </w:rPr>
      </w:pPr>
      <w:r w:rsidRPr="0060093D">
        <w:rPr>
          <w:rFonts w:ascii="Nirmala UI" w:eastAsia="Arial Unicode MS" w:hAnsi="Nirmala UI" w:cs="Nirmala UI"/>
          <w:b/>
          <w:bCs/>
          <w:lang w:val="hi"/>
        </w:rPr>
        <w:t xml:space="preserve">विकलांगता समावेशी आपदा जोखिम न्यूनीकरण (Disability Inclusive Disaster Risk Reduction, DIDRR) विकलांग व्यक्तियों के लिए आपदाओं के जोखिम को कम करने, उनकी सुरक्षा, प्रतिरोधक्षमता और आपदा प्रबंधन के सभी चरणों में अर्थपूर्ण भागीदारी सुनिश्चित करने की प्रक्रिया को संदर्भित </w:t>
      </w:r>
      <w:r w:rsidR="009D5E12">
        <w:rPr>
          <w:rFonts w:ascii="Nirmala UI" w:eastAsia="Arial Unicode MS" w:hAnsi="Nirmala UI" w:cs="Nirmala UI"/>
          <w:b/>
          <w:bCs/>
          <w:cs/>
          <w:lang w:val="hi" w:bidi="hi-IN"/>
        </w:rPr>
        <w:br/>
      </w:r>
      <w:r w:rsidRPr="0060093D">
        <w:rPr>
          <w:rFonts w:ascii="Nirmala UI" w:eastAsia="Arial Unicode MS" w:hAnsi="Nirmala UI" w:cs="Nirmala UI"/>
          <w:b/>
          <w:bCs/>
          <w:lang w:val="hi"/>
        </w:rPr>
        <w:t>करता है।</w:t>
      </w:r>
    </w:p>
    <w:p w14:paraId="76CF0C5F" w14:textId="31B29509" w:rsidR="00DB2622" w:rsidRPr="0060093D" w:rsidRDefault="007604C5" w:rsidP="0091047D">
      <w:pPr>
        <w:spacing w:after="120" w:line="240" w:lineRule="auto"/>
        <w:rPr>
          <w:rFonts w:ascii="Nirmala UI" w:hAnsi="Nirmala UI" w:cs="Nirmala UI"/>
        </w:rPr>
      </w:pPr>
      <w:r w:rsidRPr="0060093D">
        <w:rPr>
          <w:rFonts w:ascii="Nirmala UI" w:eastAsia="Arial Unicode MS" w:hAnsi="Nirmala UI" w:cs="Nirmala UI"/>
          <w:lang w:val="hi"/>
        </w:rPr>
        <w:t>DIDRR इस बात की पहचान करता है कि विकलांग व्यक्ति आपदाओं और आपात स्थितियों से असमान रूप से प्रभावित होते हैं। समावेशी दृष्टिकोण अपनाकर, DIDRR का उद्देश्य अतिसंवेदनशीलताओं को कम करना, प्रतिरोधक्षमता को बढ़ाना और विकलांग व्यक्तियों के अधिकारों और भलाई को बढ़ावा देना है।</w:t>
      </w:r>
    </w:p>
    <w:p w14:paraId="001A926D" w14:textId="77777777" w:rsidR="00450CC3" w:rsidRPr="0060093D" w:rsidRDefault="007604C5" w:rsidP="0091047D">
      <w:pPr>
        <w:pStyle w:val="Heading2"/>
        <w:rPr>
          <w:rFonts w:ascii="Nirmala UI" w:hAnsi="Nirmala UI" w:cs="Nirmala UI"/>
        </w:rPr>
      </w:pPr>
      <w:r w:rsidRPr="0060093D">
        <w:rPr>
          <w:rFonts w:ascii="Nirmala UI" w:eastAsia="Arial Unicode MS" w:hAnsi="Nirmala UI" w:cs="Nirmala UI"/>
          <w:lang w:val="hi"/>
        </w:rPr>
        <w:t>एनडीआईएस (NDIS) प्रदाता के तौर पर हमारे दायित्व</w:t>
      </w:r>
    </w:p>
    <w:p w14:paraId="16700118" w14:textId="0ED07837" w:rsidR="00246298" w:rsidRPr="0060093D" w:rsidRDefault="007604C5" w:rsidP="00F612C1">
      <w:pPr>
        <w:spacing w:after="200" w:line="240" w:lineRule="auto"/>
        <w:rPr>
          <w:rFonts w:ascii="Nirmala UI" w:hAnsi="Nirmala UI" w:cs="Nirmala UI"/>
          <w:lang w:val="en-AU"/>
        </w:rPr>
      </w:pPr>
      <w:r w:rsidRPr="0060093D">
        <w:rPr>
          <w:rFonts w:ascii="Nirmala UI" w:eastAsia="Arial Unicode MS" w:hAnsi="Nirmala UI" w:cs="Nirmala UI"/>
          <w:lang w:val="hi"/>
        </w:rPr>
        <w:t>विकलांग लोगों के लिए आपात स्थितियों और आपदाओं से उत्पन्न होने वाले जोखिमों का प्रबंधन करने के लिए ऑस्ट्रेलिया के दायित्वों को अंतरराष्ट्रीय और स्थानीय ढांचों की एक श्रृंखला में निर्धारित किया गया है। एनडीआईएस प्रदाताओं का दायित्व है कि वे यह सुनिश्चित करें कि उनकी प्रथाएं इन दस्तावेजों में अंतर्निहित सिद्धांतों को दर्शाती हैं, और साथ ही आपातकालीन तथा आपदा प्रबंधन के लिए एनडीआईएस अभ्यास मानक को पूरा करती हैं।</w:t>
      </w:r>
    </w:p>
    <w:p w14:paraId="61E6B09D" w14:textId="587BB4D4" w:rsidR="002C54BB" w:rsidRDefault="00F612C1" w:rsidP="002C54BB">
      <w:pPr>
        <w:spacing w:after="120" w:line="360" w:lineRule="auto"/>
        <w:jc w:val="center"/>
        <w:rPr>
          <w:rFonts w:ascii="Nirmala UI" w:hAnsi="Nirmala UI" w:cs="Nirmala UI"/>
        </w:rPr>
      </w:pPr>
      <w:r w:rsidRPr="0060093D">
        <w:rPr>
          <w:rFonts w:ascii="Nirmala UI" w:hAnsi="Nirmala UI" w:cs="Nirmala UI"/>
          <w:noProof/>
        </w:rPr>
        <mc:AlternateContent>
          <mc:Choice Requires="wps">
            <w:drawing>
              <wp:inline distT="0" distB="0" distL="0" distR="0" wp14:anchorId="1749626F" wp14:editId="508B4464">
                <wp:extent cx="5859780" cy="495300"/>
                <wp:effectExtent l="0" t="0" r="26670" b="19050"/>
                <wp:docPr id="1155908873" name="Rectangle: Rounded Corners 3" descr="विकलांग लोगों के अधिकारों पर संयुक्त राष्ट्र का संधिपत्र"/>
                <wp:cNvGraphicFramePr/>
                <a:graphic xmlns:a="http://schemas.openxmlformats.org/drawingml/2006/main">
                  <a:graphicData uri="http://schemas.microsoft.com/office/word/2010/wordprocessingShape">
                    <wps:wsp>
                      <wps:cNvSpPr/>
                      <wps:spPr>
                        <a:xfrm>
                          <a:off x="0" y="0"/>
                          <a:ext cx="5859780" cy="4953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489124A" w14:textId="19D10ED5" w:rsidR="002C54BB" w:rsidRPr="00EB33E6" w:rsidRDefault="007604C5" w:rsidP="00F612C1">
                            <w:pPr>
                              <w:ind w:left="-426"/>
                              <w:jc w:val="center"/>
                              <w:rPr>
                                <w:rFonts w:ascii="Nirmala UI" w:hAnsi="Nirmala UI" w:cs="Nirmala UI"/>
                              </w:rPr>
                            </w:pPr>
                            <w:r w:rsidRPr="00EB33E6">
                              <w:rPr>
                                <w:rFonts w:ascii="Nirmala UI" w:eastAsia="Arial Unicode MS" w:hAnsi="Nirmala UI" w:cs="Nirmala UI"/>
                                <w:b/>
                                <w:bCs/>
                                <w:sz w:val="28"/>
                                <w:szCs w:val="28"/>
                                <w:lang w:val="hi"/>
                              </w:rPr>
                              <w:t>विकलांग लोगों के अधिकारों पर संयुक्त राष्ट्र का संधिपत्र</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inline>
            </w:drawing>
          </mc:Choice>
          <mc:Fallback>
            <w:pict>
              <v:roundrect w14:anchorId="1749626F" id="Rectangle: Rounded Corners 3" o:spid="_x0000_s1026" alt="विकलांग लोगों के अधिकारों पर संयुक्त राष्ट्र का संधिपत्र" style="width:461.4pt;height:3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" fillcolor="#156082 [3204]" strokecolor="#030e13 [484]" strokeweight="1pt">
                <v:stroke joinstyle="miter"/>
                <v:textbox>
                  <w:txbxContent>
                    <w:p w14:paraId="3489124A" w14:textId="19D10ED5" w:rsidR="002C54BB" w:rsidRPr="00EB33E6" w:rsidRDefault="007604C5" w:rsidP="00F612C1">
                      <w:pPr>
                        <w:ind w:left="-426"/>
                        <w:jc w:val="center"/>
                        <w:rPr>
                          <w:rFonts w:ascii="Nirmala UI" w:hAnsi="Nirmala UI" w:cs="Nirmala UI"/>
                        </w:rPr>
                      </w:pPr>
                      <w:r w:rsidRPr="00EB33E6">
                        <w:rPr>
                          <w:rFonts w:ascii="Nirmala UI" w:eastAsia="Arial Unicode MS" w:hAnsi="Nirmala UI" w:cs="Nirmala UI"/>
                          <w:b/>
                          <w:bCs/>
                          <w:sz w:val="28"/>
                          <w:szCs w:val="28"/>
                          <w:lang w:val="hi"/>
                        </w:rPr>
                        <w:t>विकलांग लोगों के अधिकारों पर संयुक्त राष्ट्र का संधिपत्र</w:t>
                      </w:r>
                    </w:p>
                  </w:txbxContent>
                </v:textbox>
                <w10:anchorlock/>
              </v:roundrect>
            </w:pict>
          </mc:Fallback>
        </mc:AlternateContent>
      </w:r>
      <w:r w:rsidR="007604C5" w:rsidRPr="0060093D">
        <w:rPr>
          <w:rFonts w:ascii="Nirmala UI" w:hAnsi="Nirmala UI" w:cs="Nirmala UI"/>
          <w:noProof/>
        </w:rPr>
        <w:drawing>
          <wp:inline distT="0" distB="0" distL="0" distR="0" wp14:anchorId="645DB226" wp14:editId="63B04A96">
            <wp:extent cx="5539740" cy="2026920"/>
            <wp:effectExtent l="0" t="0" r="80010" b="0"/>
            <wp:docPr id="623916845" name="Diagram 1" descr="विकलांग लोगों के अधिकारों पर संयुक्त राष्ट्र का संधिपत्र"/>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5CCFBED5" w14:textId="3EF39F44" w:rsidR="00F612C1" w:rsidRPr="0060093D" w:rsidRDefault="00F612C1" w:rsidP="002C54BB">
      <w:pPr>
        <w:spacing w:after="120" w:line="360" w:lineRule="auto"/>
        <w:jc w:val="center"/>
        <w:rPr>
          <w:rFonts w:ascii="Nirmala UI" w:hAnsi="Nirmala UI" w:cs="Nirmala UI"/>
        </w:rPr>
      </w:pPr>
      <w:r w:rsidRPr="00F612C1">
        <w:rPr>
          <w:rFonts w:ascii="Nirmala UI" w:eastAsiaTheme="minorEastAsia" w:hAnsi="Nirmala UI" w:cs="Nirmala UI"/>
          <w:noProof/>
          <w:lang w:val="en-ID" w:eastAsia="en-ID"/>
        </w:rPr>
        <mc:AlternateContent>
          <mc:Choice Requires="wps">
            <w:drawing>
              <wp:inline distT="0" distB="0" distL="0" distR="0" wp14:anchorId="2331C5C0" wp14:editId="5342BE3C">
                <wp:extent cx="5958840" cy="678180"/>
                <wp:effectExtent l="0" t="0" r="22860" b="26670"/>
                <wp:docPr id="462198693" name="Rectangle: Rounded Corners 3"/>
                <wp:cNvGraphicFramePr/>
                <a:graphic xmlns:a="http://schemas.openxmlformats.org/drawingml/2006/main">
                  <a:graphicData uri="http://schemas.microsoft.com/office/word/2010/wordprocessingShape">
                    <wps:wsp>
                      <wps:cNvSpPr/>
                      <wps:spPr>
                        <a:xfrm>
                          <a:off x="0" y="0"/>
                          <a:ext cx="5958840" cy="678180"/>
                        </a:xfrm>
                        <a:prstGeom prst="roundRect">
                          <a:avLst/>
                        </a:prstGeom>
                        <a:solidFill>
                          <a:srgbClr val="156082"/>
                        </a:solidFill>
                        <a:ln w="12700" cap="flat" cmpd="sng" algn="ctr">
                          <a:solidFill>
                            <a:srgbClr val="156082">
                              <a:shade val="15000"/>
                            </a:srgbClr>
                          </a:solidFill>
                          <a:prstDash val="solid"/>
                          <a:miter lim="800000"/>
                        </a:ln>
                        <a:effectLst/>
                      </wps:spPr>
                      <wps:txbx>
                        <w:txbxContent>
                          <w:p w14:paraId="6BE9A07D" w14:textId="19DC0EAC" w:rsidR="00F612C1" w:rsidRPr="00F612C1" w:rsidRDefault="00F612C1" w:rsidP="00F612C1">
                            <w:pPr>
                              <w:jc w:val="center"/>
                              <w:rPr>
                                <w:rFonts w:ascii="Nirmala UI" w:hAnsi="Nirmala UI" w:cs="Nirmala UI"/>
                                <w:b/>
                                <w:bCs/>
                                <w:color w:val="FFFFFF" w:themeColor="background1"/>
                                <w:sz w:val="28"/>
                                <w:szCs w:val="28"/>
                              </w:rPr>
                            </w:pPr>
                            <w:r w:rsidRPr="00F612C1">
                              <w:rPr>
                                <w:rFonts w:ascii="Nirmala UI" w:eastAsia="Arial Unicode MS" w:hAnsi="Nirmala UI" w:cs="Nirmala UI"/>
                                <w:b/>
                                <w:bCs/>
                                <w:color w:val="FFFFFF" w:themeColor="background1"/>
                                <w:sz w:val="28"/>
                                <w:szCs w:val="28"/>
                                <w:lang w:val="hi"/>
                              </w:rPr>
                              <w:t xml:space="preserve">विकलांगता समावेशी आपदा जोखिम न्यूनीकरण </w:t>
                            </w:r>
                            <w:r>
                              <w:rPr>
                                <w:rFonts w:ascii="Nirmala UI" w:eastAsia="Arial Unicode MS" w:hAnsi="Nirmala UI" w:cs="Nirmala UI"/>
                                <w:b/>
                                <w:bCs/>
                                <w:color w:val="FFFFFF" w:themeColor="background1"/>
                                <w:sz w:val="28"/>
                                <w:szCs w:val="28"/>
                                <w:lang w:val="hi"/>
                              </w:rPr>
                              <w:br/>
                            </w:r>
                            <w:r w:rsidRPr="00F612C1">
                              <w:rPr>
                                <w:rFonts w:ascii="Nirmala UI" w:eastAsia="Arial Unicode MS" w:hAnsi="Nirmala UI" w:cs="Nirmala UI"/>
                                <w:b/>
                                <w:bCs/>
                                <w:color w:val="FFFFFF" w:themeColor="background1"/>
                                <w:sz w:val="28"/>
                                <w:szCs w:val="28"/>
                                <w:lang w:val="hi"/>
                              </w:rPr>
                              <w:t>(Disability Inclusive Disaster Risk Reduction, DIDRR)</w:t>
                            </w:r>
                          </w:p>
                          <w:p w14:paraId="7CBECE0C" w14:textId="77777777" w:rsidR="00F612C1" w:rsidRPr="00EB33E6" w:rsidRDefault="00F612C1" w:rsidP="00F612C1">
                            <w:pPr>
                              <w:jc w:val="center"/>
                              <w:rPr>
                                <w:rFonts w:ascii="Nirmala UI" w:hAnsi="Nirmala UI" w:cs="Nirmala UI"/>
                              </w:rPr>
                            </w:pP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inline>
            </w:drawing>
          </mc:Choice>
          <mc:Fallback>
            <w:pict>
              <v:roundrect w14:anchorId="2331C5C0" id="_x0000_s1027" style="width:469.2pt;height:5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" fillcolor="#156082" strokecolor="#042433" strokeweight="1pt">
                <v:stroke joinstyle="miter"/>
                <v:textbox>
                  <w:txbxContent>
                    <w:p w14:paraId="6BE9A07D" w14:textId="19DC0EAC" w:rsidR="00F612C1" w:rsidRPr="00F612C1" w:rsidRDefault="00F612C1" w:rsidP="00F612C1">
                      <w:pPr>
                        <w:jc w:val="center"/>
                        <w:rPr>
                          <w:rFonts w:ascii="Nirmala UI" w:hAnsi="Nirmala UI" w:cs="Nirmala UI"/>
                          <w:b/>
                          <w:bCs/>
                          <w:color w:val="FFFFFF" w:themeColor="background1"/>
                          <w:sz w:val="28"/>
                          <w:szCs w:val="28"/>
                        </w:rPr>
                      </w:pPr>
                      <w:r w:rsidRPr="00F612C1">
                        <w:rPr>
                          <w:rFonts w:ascii="Nirmala UI" w:eastAsia="Arial Unicode MS" w:hAnsi="Nirmala UI" w:cs="Nirmala UI"/>
                          <w:b/>
                          <w:bCs/>
                          <w:color w:val="FFFFFF" w:themeColor="background1"/>
                          <w:sz w:val="28"/>
                          <w:szCs w:val="28"/>
                          <w:lang w:val="hi"/>
                        </w:rPr>
                        <w:t xml:space="preserve">विकलांगता समावेशी आपदा जोखिम न्यूनीकरण </w:t>
                      </w:r>
                      <w:r>
                        <w:rPr>
                          <w:rFonts w:ascii="Nirmala UI" w:eastAsia="Arial Unicode MS" w:hAnsi="Nirmala UI" w:cs="Nirmala UI"/>
                          <w:b/>
                          <w:bCs/>
                          <w:color w:val="FFFFFF" w:themeColor="background1"/>
                          <w:sz w:val="28"/>
                          <w:szCs w:val="28"/>
                          <w:lang w:val="hi"/>
                        </w:rPr>
                        <w:br/>
                      </w:r>
                      <w:r w:rsidRPr="00F612C1">
                        <w:rPr>
                          <w:rFonts w:ascii="Nirmala UI" w:eastAsia="Arial Unicode MS" w:hAnsi="Nirmala UI" w:cs="Nirmala UI"/>
                          <w:b/>
                          <w:bCs/>
                          <w:color w:val="FFFFFF" w:themeColor="background1"/>
                          <w:sz w:val="28"/>
                          <w:szCs w:val="28"/>
                          <w:lang w:val="hi"/>
                        </w:rPr>
                        <w:t>(Disability Inclusive Disaster Risk Reduction, DIDRR)</w:t>
                      </w:r>
                    </w:p>
                    <w:p w14:paraId="7CBECE0C" w14:textId="77777777" w:rsidR="00F612C1" w:rsidRPr="00EB33E6" w:rsidRDefault="00F612C1" w:rsidP="00F612C1">
                      <w:pPr>
                        <w:jc w:val="center"/>
                        <w:rPr>
                          <w:rFonts w:ascii="Nirmala UI" w:hAnsi="Nirmala UI" w:cs="Nirmala UI"/>
                        </w:rPr>
                      </w:pPr>
                    </w:p>
                  </w:txbxContent>
                </v:textbox>
                <w10:anchorlock/>
              </v:roundrect>
            </w:pict>
          </mc:Fallback>
        </mc:AlternateContent>
      </w:r>
    </w:p>
    <w:p w14:paraId="6A125666" w14:textId="152A872B" w:rsidR="00246298" w:rsidRPr="0060093D" w:rsidRDefault="007604C5" w:rsidP="00EB33E6">
      <w:pPr>
        <w:keepNext/>
        <w:keepLines/>
        <w:spacing w:after="120" w:line="240" w:lineRule="auto"/>
        <w:rPr>
          <w:rFonts w:ascii="Nirmala UI" w:hAnsi="Nirmala UI" w:cs="Nirmala UI"/>
          <w:lang w:val="en-AU"/>
        </w:rPr>
      </w:pPr>
      <w:r w:rsidRPr="0060093D">
        <w:rPr>
          <w:rFonts w:ascii="Nirmala UI" w:eastAsia="Arial Unicode MS" w:hAnsi="Nirmala UI" w:cs="Nirmala UI"/>
          <w:b/>
          <w:bCs/>
          <w:lang w:val="hi"/>
        </w:rPr>
        <w:lastRenderedPageBreak/>
        <w:t>विकलांग व्यक्तियों के अधिकारों पर संयुक्त राष्ट्र के संधिपत्र</w:t>
      </w:r>
      <w:r w:rsidRPr="0060093D">
        <w:rPr>
          <w:rFonts w:ascii="Nirmala UI" w:eastAsia="Arial Unicode MS" w:hAnsi="Nirmala UI" w:cs="Nirmala UI"/>
          <w:lang w:val="hi"/>
        </w:rPr>
        <w:t xml:space="preserve"> में कहा गया है कि पार्टियां (सभी पक्ष) जोखिम की स्थितियों में विकलांग व्यक्तियों की सुरक्षा और संरक्षण को सुनिश्चित करने के लिए सभी आवश्यक उपाय करेंगी। जोखिम की इन स्थितियों में सशस्त्र संघर्ष, मानवीय आपात स्थितियाँ और प्राकृतिक आपदाओं की घटनाएँ शामिल हैं (अनुच्छेद 11)।</w:t>
      </w:r>
    </w:p>
    <w:p w14:paraId="5C897187" w14:textId="281B8CDA" w:rsidR="00FF7E29" w:rsidRPr="0060093D" w:rsidRDefault="004C37B2" w:rsidP="00EB33E6">
      <w:pPr>
        <w:keepNext/>
        <w:keepLines/>
        <w:spacing w:after="120" w:line="240" w:lineRule="auto"/>
        <w:rPr>
          <w:rFonts w:ascii="Nirmala UI" w:hAnsi="Nirmala UI" w:cs="Nirmala UI"/>
        </w:rPr>
      </w:pPr>
      <w:r w:rsidRPr="0060093D">
        <w:rPr>
          <w:rFonts w:ascii="Nirmala UI" w:eastAsia="Arial Unicode MS" w:hAnsi="Nirmala UI" w:cs="Nirmala UI"/>
          <w:b/>
          <w:bCs/>
          <w:lang w:val="hi"/>
        </w:rPr>
        <w:t xml:space="preserve"> </w:t>
      </w:r>
      <w:r w:rsidRPr="0060093D">
        <w:rPr>
          <w:rFonts w:ascii="Nirmala UI" w:eastAsia="Arial Unicode MS" w:hAnsi="Nirmala UI" w:cs="Nirmala UI"/>
          <w:b/>
          <w:bCs/>
          <w:lang w:val="hi" w:bidi="hi"/>
        </w:rPr>
        <w:t>आपदा</w:t>
      </w:r>
      <w:r w:rsidRPr="0060093D">
        <w:rPr>
          <w:rFonts w:ascii="Nirmala UI" w:eastAsia="Arial Unicode MS" w:hAnsi="Nirmala UI" w:cs="Nirmala UI"/>
          <w:b/>
          <w:bCs/>
          <w:lang w:val="hi"/>
        </w:rPr>
        <w:t xml:space="preserve"> </w:t>
      </w:r>
      <w:r w:rsidRPr="0060093D">
        <w:rPr>
          <w:rFonts w:ascii="Nirmala UI" w:eastAsia="Arial Unicode MS" w:hAnsi="Nirmala UI" w:cs="Nirmala UI"/>
          <w:b/>
          <w:bCs/>
          <w:lang w:val="hi" w:bidi="hi"/>
        </w:rPr>
        <w:t>जोखिम</w:t>
      </w:r>
      <w:r w:rsidRPr="0060093D">
        <w:rPr>
          <w:rFonts w:ascii="Nirmala UI" w:eastAsia="Arial Unicode MS" w:hAnsi="Nirmala UI" w:cs="Nirmala UI"/>
          <w:b/>
          <w:bCs/>
          <w:lang w:val="hi"/>
        </w:rPr>
        <w:t xml:space="preserve"> </w:t>
      </w:r>
      <w:r w:rsidRPr="0060093D">
        <w:rPr>
          <w:rFonts w:ascii="Nirmala UI" w:eastAsia="Arial Unicode MS" w:hAnsi="Nirmala UI" w:cs="Nirmala UI"/>
          <w:b/>
          <w:bCs/>
          <w:lang w:val="hi" w:bidi="hi"/>
        </w:rPr>
        <w:t>न्यूनीकरण</w:t>
      </w:r>
      <w:r w:rsidRPr="0060093D">
        <w:rPr>
          <w:rFonts w:ascii="Nirmala UI" w:eastAsia="Arial Unicode MS" w:hAnsi="Nirmala UI" w:cs="Nirmala UI"/>
          <w:b/>
          <w:bCs/>
          <w:lang w:val="hi"/>
        </w:rPr>
        <w:t xml:space="preserve"> </w:t>
      </w:r>
      <w:r w:rsidRPr="0060093D">
        <w:rPr>
          <w:rFonts w:ascii="Nirmala UI" w:eastAsia="Arial Unicode MS" w:hAnsi="Nirmala UI" w:cs="Nirmala UI"/>
          <w:b/>
          <w:bCs/>
          <w:lang w:val="hi" w:bidi="hi"/>
        </w:rPr>
        <w:t>के</w:t>
      </w:r>
      <w:r w:rsidRPr="0060093D">
        <w:rPr>
          <w:rFonts w:ascii="Nirmala UI" w:eastAsia="Arial Unicode MS" w:hAnsi="Nirmala UI" w:cs="Nirmala UI"/>
          <w:b/>
          <w:bCs/>
          <w:lang w:val="hi"/>
        </w:rPr>
        <w:t xml:space="preserve"> </w:t>
      </w:r>
      <w:r w:rsidRPr="0060093D">
        <w:rPr>
          <w:rFonts w:ascii="Nirmala UI" w:eastAsia="Arial Unicode MS" w:hAnsi="Nirmala UI" w:cs="Nirmala UI"/>
          <w:b/>
          <w:bCs/>
          <w:lang w:val="hi" w:bidi="hi"/>
        </w:rPr>
        <w:t>लिए</w:t>
      </w:r>
      <w:r w:rsidRPr="0060093D">
        <w:rPr>
          <w:rFonts w:ascii="Nirmala UI" w:eastAsia="Arial Unicode MS" w:hAnsi="Nirmala UI" w:cs="Nirmala UI"/>
          <w:b/>
          <w:bCs/>
          <w:lang w:val="hi"/>
        </w:rPr>
        <w:t xml:space="preserve"> </w:t>
      </w:r>
      <w:r w:rsidRPr="0060093D">
        <w:rPr>
          <w:rFonts w:ascii="Nirmala UI" w:eastAsia="Arial Unicode MS" w:hAnsi="Nirmala UI" w:cs="Nirmala UI"/>
          <w:b/>
          <w:bCs/>
          <w:lang w:val="hi" w:bidi="hi"/>
        </w:rPr>
        <w:t>सेंडाई</w:t>
      </w:r>
      <w:r w:rsidRPr="0060093D">
        <w:rPr>
          <w:rFonts w:ascii="Nirmala UI" w:eastAsia="Arial Unicode MS" w:hAnsi="Nirmala UI" w:cs="Nirmala UI"/>
          <w:b/>
          <w:bCs/>
          <w:lang w:val="hi"/>
        </w:rPr>
        <w:t xml:space="preserve"> </w:t>
      </w:r>
      <w:r w:rsidRPr="0060093D">
        <w:rPr>
          <w:rFonts w:ascii="Nirmala UI" w:eastAsia="Arial Unicode MS" w:hAnsi="Nirmala UI" w:cs="Nirmala UI"/>
          <w:b/>
          <w:bCs/>
          <w:lang w:val="hi" w:bidi="hi"/>
        </w:rPr>
        <w:t>फ्रेमवर्क</w:t>
      </w:r>
      <w:r w:rsidRPr="0060093D">
        <w:rPr>
          <w:rFonts w:ascii="Nirmala UI" w:eastAsia="Arial Unicode MS" w:hAnsi="Nirmala UI" w:cs="Nirmala UI"/>
          <w:b/>
          <w:bCs/>
          <w:lang w:val="hi"/>
        </w:rPr>
        <w:t xml:space="preserve"> (Sendai Framework for Disaster Risk Reduction) 2015-2030</w:t>
      </w:r>
      <w:r w:rsidRPr="0060093D">
        <w:rPr>
          <w:rFonts w:ascii="Nirmala UI" w:eastAsia="Arial Unicode MS" w:hAnsi="Nirmala UI" w:cs="Nirmala UI"/>
          <w:lang w:val="hi"/>
        </w:rPr>
        <w:t xml:space="preserve"> </w:t>
      </w:r>
      <w:r w:rsidRPr="0060093D">
        <w:rPr>
          <w:rFonts w:ascii="Nirmala UI" w:eastAsia="Arial Unicode MS" w:hAnsi="Nirmala UI" w:cs="Nirmala UI"/>
          <w:lang w:val="hi" w:bidi="hi"/>
        </w:rPr>
        <w:t>नए</w:t>
      </w:r>
      <w:r w:rsidRPr="0060093D">
        <w:rPr>
          <w:rFonts w:ascii="Nirmala UI" w:eastAsia="Arial Unicode MS" w:hAnsi="Nirmala UI" w:cs="Nirmala UI"/>
          <w:lang w:val="hi"/>
        </w:rPr>
        <w:t xml:space="preserve"> </w:t>
      </w:r>
      <w:r w:rsidRPr="0060093D">
        <w:rPr>
          <w:rFonts w:ascii="Nirmala UI" w:eastAsia="Arial Unicode MS" w:hAnsi="Nirmala UI" w:cs="Nirmala UI"/>
          <w:lang w:val="hi" w:bidi="hi"/>
        </w:rPr>
        <w:t>आपदा</w:t>
      </w:r>
      <w:r w:rsidRPr="0060093D">
        <w:rPr>
          <w:rFonts w:ascii="Nirmala UI" w:eastAsia="Arial Unicode MS" w:hAnsi="Nirmala UI" w:cs="Nirmala UI"/>
          <w:lang w:val="hi"/>
        </w:rPr>
        <w:t xml:space="preserve"> </w:t>
      </w:r>
      <w:r w:rsidRPr="0060093D">
        <w:rPr>
          <w:rFonts w:ascii="Nirmala UI" w:eastAsia="Arial Unicode MS" w:hAnsi="Nirmala UI" w:cs="Nirmala UI"/>
          <w:lang w:val="hi" w:bidi="hi"/>
        </w:rPr>
        <w:t>जोखिमों</w:t>
      </w:r>
      <w:r w:rsidRPr="0060093D">
        <w:rPr>
          <w:rFonts w:ascii="Nirmala UI" w:eastAsia="Arial Unicode MS" w:hAnsi="Nirmala UI" w:cs="Nirmala UI"/>
          <w:lang w:val="hi"/>
        </w:rPr>
        <w:t xml:space="preserve"> </w:t>
      </w:r>
      <w:r w:rsidRPr="0060093D">
        <w:rPr>
          <w:rFonts w:ascii="Nirmala UI" w:eastAsia="Arial Unicode MS" w:hAnsi="Nirmala UI" w:cs="Nirmala UI"/>
          <w:lang w:val="hi" w:bidi="hi"/>
        </w:rPr>
        <w:t>की</w:t>
      </w:r>
      <w:r w:rsidRPr="0060093D">
        <w:rPr>
          <w:rFonts w:ascii="Nirmala UI" w:eastAsia="Arial Unicode MS" w:hAnsi="Nirmala UI" w:cs="Nirmala UI"/>
          <w:lang w:val="hi"/>
        </w:rPr>
        <w:t xml:space="preserve"> </w:t>
      </w:r>
      <w:r w:rsidRPr="0060093D">
        <w:rPr>
          <w:rFonts w:ascii="Nirmala UI" w:eastAsia="Arial Unicode MS" w:hAnsi="Nirmala UI" w:cs="Nirmala UI"/>
          <w:lang w:val="hi" w:bidi="hi"/>
        </w:rPr>
        <w:t>रोकथाम</w:t>
      </w:r>
      <w:r w:rsidRPr="0060093D">
        <w:rPr>
          <w:rFonts w:ascii="Nirmala UI" w:eastAsia="Arial Unicode MS" w:hAnsi="Nirmala UI" w:cs="Nirmala UI"/>
          <w:lang w:val="hi"/>
        </w:rPr>
        <w:t xml:space="preserve"> </w:t>
      </w:r>
      <w:r w:rsidRPr="0060093D">
        <w:rPr>
          <w:rFonts w:ascii="Nirmala UI" w:eastAsia="Arial Unicode MS" w:hAnsi="Nirmala UI" w:cs="Nirmala UI"/>
          <w:lang w:val="hi" w:bidi="hi"/>
        </w:rPr>
        <w:t>करने</w:t>
      </w:r>
      <w:r w:rsidRPr="0060093D">
        <w:rPr>
          <w:rFonts w:ascii="Nirmala UI" w:eastAsia="Arial Unicode MS" w:hAnsi="Nirmala UI" w:cs="Nirmala UI"/>
          <w:lang w:val="hi"/>
        </w:rPr>
        <w:t xml:space="preserve"> </w:t>
      </w:r>
      <w:r w:rsidRPr="0060093D">
        <w:rPr>
          <w:rFonts w:ascii="Nirmala UI" w:eastAsia="Arial Unicode MS" w:hAnsi="Nirmala UI" w:cs="Nirmala UI"/>
          <w:lang w:val="hi" w:bidi="hi"/>
        </w:rPr>
        <w:t>और</w:t>
      </w:r>
      <w:r w:rsidRPr="0060093D">
        <w:rPr>
          <w:rFonts w:ascii="Nirmala UI" w:eastAsia="Arial Unicode MS" w:hAnsi="Nirmala UI" w:cs="Nirmala UI"/>
          <w:lang w:val="hi"/>
        </w:rPr>
        <w:t xml:space="preserve"> </w:t>
      </w:r>
      <w:r w:rsidRPr="0060093D">
        <w:rPr>
          <w:rFonts w:ascii="Nirmala UI" w:eastAsia="Arial Unicode MS" w:hAnsi="Nirmala UI" w:cs="Nirmala UI"/>
          <w:lang w:val="hi" w:bidi="hi"/>
        </w:rPr>
        <w:t>मौजूदा</w:t>
      </w:r>
      <w:r w:rsidRPr="0060093D">
        <w:rPr>
          <w:rFonts w:ascii="Nirmala UI" w:eastAsia="Arial Unicode MS" w:hAnsi="Nirmala UI" w:cs="Nirmala UI"/>
          <w:lang w:val="hi"/>
        </w:rPr>
        <w:t xml:space="preserve"> </w:t>
      </w:r>
      <w:r w:rsidRPr="0060093D">
        <w:rPr>
          <w:rFonts w:ascii="Nirmala UI" w:eastAsia="Arial Unicode MS" w:hAnsi="Nirmala UI" w:cs="Nirmala UI"/>
          <w:lang w:val="hi" w:bidi="hi"/>
        </w:rPr>
        <w:t>आपदा</w:t>
      </w:r>
      <w:r w:rsidRPr="0060093D">
        <w:rPr>
          <w:rFonts w:ascii="Nirmala UI" w:eastAsia="Arial Unicode MS" w:hAnsi="Nirmala UI" w:cs="Nirmala UI"/>
          <w:lang w:val="hi"/>
        </w:rPr>
        <w:t xml:space="preserve"> </w:t>
      </w:r>
      <w:r w:rsidRPr="0060093D">
        <w:rPr>
          <w:rFonts w:ascii="Nirmala UI" w:eastAsia="Arial Unicode MS" w:hAnsi="Nirmala UI" w:cs="Nirmala UI"/>
          <w:lang w:val="hi" w:bidi="hi"/>
        </w:rPr>
        <w:t>जोखिमों</w:t>
      </w:r>
      <w:r w:rsidRPr="0060093D">
        <w:rPr>
          <w:rFonts w:ascii="Nirmala UI" w:eastAsia="Arial Unicode MS" w:hAnsi="Nirmala UI" w:cs="Nirmala UI"/>
          <w:lang w:val="hi"/>
        </w:rPr>
        <w:t xml:space="preserve"> </w:t>
      </w:r>
      <w:r w:rsidRPr="0060093D">
        <w:rPr>
          <w:rFonts w:ascii="Nirmala UI" w:eastAsia="Arial Unicode MS" w:hAnsi="Nirmala UI" w:cs="Nirmala UI"/>
          <w:lang w:val="hi" w:bidi="hi"/>
        </w:rPr>
        <w:t>को</w:t>
      </w:r>
      <w:r w:rsidRPr="0060093D">
        <w:rPr>
          <w:rFonts w:ascii="Nirmala UI" w:eastAsia="Arial Unicode MS" w:hAnsi="Nirmala UI" w:cs="Nirmala UI"/>
          <w:lang w:val="hi"/>
        </w:rPr>
        <w:t xml:space="preserve"> </w:t>
      </w:r>
      <w:r w:rsidRPr="0060093D">
        <w:rPr>
          <w:rFonts w:ascii="Nirmala UI" w:eastAsia="Arial Unicode MS" w:hAnsi="Nirmala UI" w:cs="Nirmala UI"/>
          <w:lang w:val="hi" w:bidi="hi"/>
        </w:rPr>
        <w:t>कम</w:t>
      </w:r>
      <w:r w:rsidRPr="0060093D">
        <w:rPr>
          <w:rFonts w:ascii="Nirmala UI" w:eastAsia="Arial Unicode MS" w:hAnsi="Nirmala UI" w:cs="Nirmala UI"/>
          <w:lang w:val="hi"/>
        </w:rPr>
        <w:t xml:space="preserve"> </w:t>
      </w:r>
      <w:r w:rsidRPr="0060093D">
        <w:rPr>
          <w:rFonts w:ascii="Nirmala UI" w:eastAsia="Arial Unicode MS" w:hAnsi="Nirmala UI" w:cs="Nirmala UI"/>
          <w:lang w:val="hi" w:bidi="hi"/>
        </w:rPr>
        <w:t>करने</w:t>
      </w:r>
      <w:r w:rsidRPr="0060093D">
        <w:rPr>
          <w:rFonts w:ascii="Nirmala UI" w:eastAsia="Arial Unicode MS" w:hAnsi="Nirmala UI" w:cs="Nirmala UI"/>
          <w:lang w:val="hi"/>
        </w:rPr>
        <w:t xml:space="preserve"> </w:t>
      </w:r>
      <w:r w:rsidRPr="0060093D">
        <w:rPr>
          <w:rFonts w:ascii="Nirmala UI" w:eastAsia="Arial Unicode MS" w:hAnsi="Nirmala UI" w:cs="Nirmala UI"/>
          <w:lang w:val="hi" w:bidi="hi"/>
        </w:rPr>
        <w:t>हेतु</w:t>
      </w:r>
      <w:r w:rsidRPr="0060093D">
        <w:rPr>
          <w:rFonts w:ascii="Nirmala UI" w:eastAsia="Arial Unicode MS" w:hAnsi="Nirmala UI" w:cs="Nirmala UI"/>
          <w:lang w:val="hi"/>
        </w:rPr>
        <w:t xml:space="preserve"> </w:t>
      </w:r>
      <w:r w:rsidRPr="0060093D">
        <w:rPr>
          <w:rFonts w:ascii="Nirmala UI" w:eastAsia="Arial Unicode MS" w:hAnsi="Nirmala UI" w:cs="Nirmala UI"/>
          <w:lang w:val="hi" w:bidi="hi"/>
        </w:rPr>
        <w:t>कार्रवाई</w:t>
      </w:r>
      <w:r w:rsidRPr="0060093D">
        <w:rPr>
          <w:rFonts w:ascii="Nirmala UI" w:eastAsia="Arial Unicode MS" w:hAnsi="Nirmala UI" w:cs="Nirmala UI"/>
          <w:lang w:val="hi"/>
        </w:rPr>
        <w:t xml:space="preserve"> </w:t>
      </w:r>
      <w:r w:rsidRPr="0060093D">
        <w:rPr>
          <w:rFonts w:ascii="Nirmala UI" w:eastAsia="Arial Unicode MS" w:hAnsi="Nirmala UI" w:cs="Nirmala UI"/>
          <w:lang w:val="hi" w:bidi="hi"/>
        </w:rPr>
        <w:t>के</w:t>
      </w:r>
      <w:r w:rsidRPr="0060093D">
        <w:rPr>
          <w:rFonts w:ascii="Nirmala UI" w:eastAsia="Arial Unicode MS" w:hAnsi="Nirmala UI" w:cs="Nirmala UI"/>
          <w:lang w:val="hi"/>
        </w:rPr>
        <w:t xml:space="preserve"> </w:t>
      </w:r>
      <w:r w:rsidRPr="0060093D">
        <w:rPr>
          <w:rFonts w:ascii="Nirmala UI" w:eastAsia="Arial Unicode MS" w:hAnsi="Nirmala UI" w:cs="Nirmala UI"/>
          <w:lang w:val="hi" w:bidi="hi"/>
        </w:rPr>
        <w:t>लिए</w:t>
      </w:r>
      <w:r w:rsidRPr="0060093D">
        <w:rPr>
          <w:rFonts w:ascii="Nirmala UI" w:eastAsia="Arial Unicode MS" w:hAnsi="Nirmala UI" w:cs="Nirmala UI"/>
          <w:lang w:val="hi"/>
        </w:rPr>
        <w:t xml:space="preserve"> </w:t>
      </w:r>
      <w:r w:rsidRPr="0060093D">
        <w:rPr>
          <w:rFonts w:ascii="Nirmala UI" w:eastAsia="Arial Unicode MS" w:hAnsi="Nirmala UI" w:cs="Nirmala UI"/>
          <w:lang w:val="hi" w:bidi="hi"/>
        </w:rPr>
        <w:t>एक</w:t>
      </w:r>
      <w:r w:rsidRPr="0060093D">
        <w:rPr>
          <w:rFonts w:ascii="Nirmala UI" w:eastAsia="Arial Unicode MS" w:hAnsi="Nirmala UI" w:cs="Nirmala UI"/>
          <w:lang w:val="hi"/>
        </w:rPr>
        <w:t xml:space="preserve"> </w:t>
      </w:r>
      <w:r w:rsidRPr="0060093D">
        <w:rPr>
          <w:rFonts w:ascii="Nirmala UI" w:eastAsia="Arial Unicode MS" w:hAnsi="Nirmala UI" w:cs="Nirmala UI"/>
          <w:lang w:val="hi" w:bidi="hi"/>
        </w:rPr>
        <w:t>अंतरराष्ट्रीय</w:t>
      </w:r>
      <w:r w:rsidRPr="0060093D">
        <w:rPr>
          <w:rFonts w:ascii="Nirmala UI" w:eastAsia="Arial Unicode MS" w:hAnsi="Nirmala UI" w:cs="Nirmala UI"/>
          <w:lang w:val="hi"/>
        </w:rPr>
        <w:t xml:space="preserve"> </w:t>
      </w:r>
      <w:r w:rsidRPr="0060093D">
        <w:rPr>
          <w:rFonts w:ascii="Nirmala UI" w:eastAsia="Arial Unicode MS" w:hAnsi="Nirmala UI" w:cs="Nirmala UI"/>
          <w:lang w:val="hi" w:bidi="hi"/>
        </w:rPr>
        <w:t>समझौता</w:t>
      </w:r>
      <w:r w:rsidRPr="0060093D">
        <w:rPr>
          <w:rFonts w:ascii="Nirmala UI" w:eastAsia="Arial Unicode MS" w:hAnsi="Nirmala UI" w:cs="Nirmala UI"/>
          <w:lang w:val="hi"/>
        </w:rPr>
        <w:t xml:space="preserve"> </w:t>
      </w:r>
      <w:r w:rsidRPr="0060093D">
        <w:rPr>
          <w:rFonts w:ascii="Nirmala UI" w:eastAsia="Arial Unicode MS" w:hAnsi="Nirmala UI" w:cs="Nirmala UI"/>
          <w:lang w:val="hi" w:bidi="hi"/>
        </w:rPr>
        <w:t>है।</w:t>
      </w:r>
    </w:p>
    <w:p w14:paraId="1FD52628" w14:textId="43F74B61" w:rsidR="00FF7E29" w:rsidRPr="0060093D" w:rsidRDefault="007604C5" w:rsidP="0091047D">
      <w:pPr>
        <w:spacing w:after="120" w:line="240" w:lineRule="auto"/>
        <w:rPr>
          <w:rFonts w:ascii="Nirmala UI" w:hAnsi="Nirmala UI" w:cs="Nirmala UI"/>
        </w:rPr>
      </w:pPr>
      <w:r w:rsidRPr="0060093D">
        <w:rPr>
          <w:rFonts w:ascii="Nirmala UI" w:eastAsia="Arial Unicode MS" w:hAnsi="Nirmala UI" w:cs="Nirmala UI"/>
          <w:b/>
          <w:bCs/>
          <w:lang w:val="hi"/>
        </w:rPr>
        <w:t>राष्ट्रीय आपदा जोखिम न्यूनीकरण फ्रेमवर्क (National Disaster Risk Reduction Framework)</w:t>
      </w:r>
      <w:r w:rsidRPr="0060093D">
        <w:rPr>
          <w:rFonts w:ascii="Nirmala UI" w:eastAsia="Arial Unicode MS" w:hAnsi="Nirmala UI" w:cs="Nirmala UI"/>
          <w:lang w:val="hi"/>
        </w:rPr>
        <w:t xml:space="preserve"> सेंडाई (Sendai) फ्रेमवर्क के ऑस्ट्रेलियाई कार्यान्वयन के रूप में काम करता है। फ्रेमवर्क</w:t>
      </w:r>
      <w:hyperlink r:id="rId12" w:tgtFrame="_blank" w:history="1">
        <w:r w:rsidRPr="0060093D">
          <w:rPr>
            <w:rStyle w:val="Hyperlink"/>
            <w:rFonts w:ascii="Nirmala UI" w:eastAsia="Arial Unicode MS" w:hAnsi="Nirmala UI" w:cs="Nirmala UI"/>
            <w:color w:val="auto"/>
            <w:u w:val="none"/>
            <w:lang w:val="hi"/>
          </w:rPr>
          <w:t xml:space="preserve"> कार्रवाई के लिए मूलभूत कार्यनीतियाँ प्रदान करता है, और आपदा जोखिम को समझने, जवाबदेह निर्णय लेने, निवेश में वृद्धि करने और प्रभावी शासन पर ध्यान केंद्रित करता है</w:t>
        </w:r>
      </w:hyperlink>
      <w:r w:rsidRPr="0060093D">
        <w:rPr>
          <w:rFonts w:ascii="Nirmala UI" w:eastAsia="Arial Unicode MS" w:hAnsi="Nirmala UI" w:cs="Nirmala UI"/>
          <w:lang w:val="hi"/>
        </w:rPr>
        <w:t>।</w:t>
      </w:r>
    </w:p>
    <w:p w14:paraId="4F258567" w14:textId="44C080D7" w:rsidR="00B5618B" w:rsidRPr="0060093D" w:rsidRDefault="007604C5" w:rsidP="0091047D">
      <w:pPr>
        <w:spacing w:after="120" w:line="240" w:lineRule="auto"/>
        <w:rPr>
          <w:rFonts w:ascii="Nirmala UI" w:hAnsi="Nirmala UI" w:cs="Nirmala UI"/>
        </w:rPr>
      </w:pPr>
      <w:r w:rsidRPr="0060093D">
        <w:rPr>
          <w:rFonts w:ascii="Nirmala UI" w:eastAsia="Arial Unicode MS" w:hAnsi="Nirmala UI" w:cs="Nirmala UI"/>
          <w:b/>
          <w:bCs/>
          <w:lang w:val="hi"/>
        </w:rPr>
        <w:t>विकलांगता समावेशी आपदा जोखिम न्यूनीकरण (Disability Inclusive Disaster Risk Reduction)</w:t>
      </w:r>
      <w:r w:rsidRPr="0060093D">
        <w:rPr>
          <w:rFonts w:ascii="Nirmala UI" w:eastAsia="Arial Unicode MS" w:hAnsi="Nirmala UI" w:cs="Nirmala UI"/>
          <w:lang w:val="hi"/>
        </w:rPr>
        <w:t xml:space="preserve"> खतरों की घटना को कम करने, लोगों और उनकी संपत्तियों के जोखिम और अतिसंवेदनशीलता को कम करने और उनके प्रभाव से निपटने की लोगों की क्षमता को मजबूत करने के लिए कार्यनीतियाँ और व्यवहारिकता प्रदान करता है।</w:t>
      </w:r>
    </w:p>
    <w:p w14:paraId="6D7B9516" w14:textId="77777777" w:rsidR="0062521A" w:rsidRPr="0060093D" w:rsidRDefault="007604C5" w:rsidP="0091047D">
      <w:pPr>
        <w:spacing w:after="120" w:line="240" w:lineRule="auto"/>
        <w:rPr>
          <w:rFonts w:ascii="Nirmala UI" w:hAnsi="Nirmala UI" w:cs="Nirmala UI"/>
        </w:rPr>
      </w:pPr>
      <w:r w:rsidRPr="0060093D">
        <w:rPr>
          <w:rFonts w:ascii="Nirmala UI" w:eastAsia="Arial Unicode MS" w:hAnsi="Nirmala UI" w:cs="Nirmala UI"/>
          <w:b/>
          <w:bCs/>
          <w:lang w:val="hi"/>
        </w:rPr>
        <w:t xml:space="preserve">आपातकालीन और आपदा प्रबंधन के लिए एनडीआईएस अभ्यास मानक (The NDIS Practice Standard for Emergency and Disaster Management) </w:t>
      </w:r>
      <w:r w:rsidR="00220AC9" w:rsidRPr="0060093D">
        <w:rPr>
          <w:rFonts w:ascii="Nirmala UI" w:eastAsia="Arial Unicode MS" w:hAnsi="Nirmala UI" w:cs="Nirmala UI"/>
          <w:lang w:val="hi"/>
        </w:rPr>
        <w:t>आपातकालीन और आपदा प्रबंधन के सभी पहलुओं में विकलांग व्यक्तियों की सुरक्षा, समावेशन और प्रभावी सहयोग सुनिश्चित करने हेतु विकलांगता सेवा प्रदाताओं के लिए दिशानिर्देश और सर्वोत्तम व्यवहारिकता प्रदान करता है।</w:t>
      </w:r>
    </w:p>
    <w:p w14:paraId="3506DA50" w14:textId="68D16946" w:rsidR="00F926BF" w:rsidRPr="007604C5" w:rsidRDefault="007604C5" w:rsidP="009C485F">
      <w:pPr>
        <w:spacing w:after="200" w:line="240" w:lineRule="auto"/>
        <w:rPr>
          <w:rFonts w:cs="Nirmala UI"/>
        </w:rPr>
      </w:pPr>
      <w:r w:rsidRPr="0060093D">
        <w:rPr>
          <w:rFonts w:ascii="Nirmala UI" w:eastAsia="Arial Unicode MS" w:hAnsi="Nirmala UI" w:cs="Nirmala UI"/>
          <w:lang w:val="hi"/>
        </w:rPr>
        <w:t>इसके अलावा, एनडीआईएस प्रदाताओं को श्रमिकों के लिए विधायी दायित्वों को पूरा करना होगा और यह सुनिश्चित करना होगा कि कार्यस्थल के लिए एक आपातकालीन योजना तैयार की गई है [</w:t>
      </w:r>
      <w:r w:rsidR="00455097" w:rsidRPr="0060093D">
        <w:rPr>
          <w:rFonts w:ascii="Nirmala UI" w:eastAsia="Arial Unicode MS" w:hAnsi="Nirmala UI" w:cs="Nirmala UI"/>
          <w:i/>
          <w:iCs/>
          <w:lang w:val="hi"/>
        </w:rPr>
        <w:t>विनियमन 43,</w:t>
      </w:r>
      <w:r w:rsidRPr="0060093D">
        <w:rPr>
          <w:rFonts w:ascii="Nirmala UI" w:eastAsia="Arial Unicode MS" w:hAnsi="Nirmala UI" w:cs="Nirmala UI"/>
          <w:lang w:val="hi"/>
        </w:rPr>
        <w:t xml:space="preserve"> </w:t>
      </w:r>
      <w:r w:rsidR="00762D9B" w:rsidRPr="0060093D">
        <w:rPr>
          <w:rFonts w:ascii="Nirmala UI" w:eastAsia="Arial Unicode MS" w:hAnsi="Nirmala UI" w:cs="Nirmala UI"/>
          <w:i/>
          <w:iCs/>
          <w:lang w:val="hi"/>
        </w:rPr>
        <w:t>कार्य स्वास्थ्य और सुरक्षा (WHS) विनियमन (2017)</w:t>
      </w:r>
      <w:r w:rsidRPr="0060093D">
        <w:rPr>
          <w:rFonts w:ascii="Nirmala UI" w:eastAsia="Arial Unicode MS" w:hAnsi="Nirmala UI" w:cs="Nirmala UI"/>
          <w:lang w:val="hi"/>
        </w:rPr>
        <w:t>]।</w:t>
      </w:r>
    </w:p>
    <w:p w14:paraId="62F210C4" w14:textId="77777777" w:rsidR="00DB2622" w:rsidRPr="009336DE" w:rsidRDefault="007604C5" w:rsidP="0091047D">
      <w:pPr>
        <w:pStyle w:val="Heading2"/>
        <w:rPr>
          <w:rFonts w:ascii="Nirmala UI" w:hAnsi="Nirmala UI" w:cs="Nirmala UI"/>
          <w:color w:val="538135"/>
        </w:rPr>
      </w:pPr>
      <w:r w:rsidRPr="009336DE">
        <w:rPr>
          <w:rFonts w:ascii="Nirmala UI" w:eastAsia="Arial Unicode MS" w:hAnsi="Nirmala UI" w:cs="Nirmala UI"/>
          <w:color w:val="538135"/>
          <w:lang w:val="hi"/>
        </w:rPr>
        <w:t>DIDRR और अभ्यास मानक को लागू करना</w:t>
      </w:r>
    </w:p>
    <w:p w14:paraId="7B7A2A02" w14:textId="77777777" w:rsidR="00115F42" w:rsidRPr="0060093D" w:rsidRDefault="007604C5" w:rsidP="0091047D">
      <w:pPr>
        <w:spacing w:after="120" w:line="240" w:lineRule="auto"/>
        <w:rPr>
          <w:rFonts w:ascii="Nirmala UI" w:hAnsi="Nirmala UI" w:cs="Nirmala UI"/>
        </w:rPr>
      </w:pPr>
      <w:r w:rsidRPr="0060093D">
        <w:rPr>
          <w:rFonts w:ascii="Nirmala UI" w:eastAsia="Arial Unicode MS" w:hAnsi="Nirmala UI" w:cs="Nirmala UI"/>
          <w:lang w:val="hi"/>
        </w:rPr>
        <w:t>DIDRR के प्रमुख घटक हैं:</w:t>
      </w:r>
    </w:p>
    <w:p w14:paraId="18AA83C4" w14:textId="6AECD789" w:rsidR="00115F42" w:rsidRPr="0060093D" w:rsidRDefault="007604C5" w:rsidP="0091047D">
      <w:pPr>
        <w:pStyle w:val="ListParagraph"/>
        <w:numPr>
          <w:ilvl w:val="0"/>
          <w:numId w:val="4"/>
        </w:numPr>
        <w:spacing w:after="120" w:line="240" w:lineRule="auto"/>
        <w:contextualSpacing w:val="0"/>
        <w:rPr>
          <w:rFonts w:ascii="Nirmala UI" w:hAnsi="Nirmala UI" w:cs="Nirmala UI"/>
        </w:rPr>
      </w:pPr>
      <w:r w:rsidRPr="0060093D">
        <w:rPr>
          <w:rFonts w:ascii="Nirmala UI" w:eastAsia="Arial Unicode MS" w:hAnsi="Nirmala UI" w:cs="Nirmala UI"/>
          <w:lang w:val="hi"/>
        </w:rPr>
        <w:t>जोखिम आकलन और तैयारी: विकलांग व्यक्तियों की विशिष्ट अतिसंवेदनशीलताओं और जरूरतों को पहचानना और समझना और इन्हें आपदा से जुड़ी तैयारी की योजनाओं और कार्यनीतियों में शामिल करना।</w:t>
      </w:r>
    </w:p>
    <w:p w14:paraId="608DC58D" w14:textId="1B159E2E" w:rsidR="00115F42" w:rsidRPr="0060093D" w:rsidRDefault="007604C5" w:rsidP="0091047D">
      <w:pPr>
        <w:pStyle w:val="ListParagraph"/>
        <w:numPr>
          <w:ilvl w:val="0"/>
          <w:numId w:val="4"/>
        </w:numPr>
        <w:spacing w:after="120" w:line="240" w:lineRule="auto"/>
        <w:contextualSpacing w:val="0"/>
        <w:rPr>
          <w:rFonts w:ascii="Nirmala UI" w:hAnsi="Nirmala UI" w:cs="Nirmala UI"/>
        </w:rPr>
      </w:pPr>
      <w:r w:rsidRPr="0060093D">
        <w:rPr>
          <w:rFonts w:ascii="Nirmala UI" w:eastAsia="Arial Unicode MS" w:hAnsi="Nirmala UI" w:cs="Nirmala UI"/>
          <w:lang w:val="hi"/>
        </w:rPr>
        <w:t>प्रतिक्रिया और रिकवरी (बहाली): यह सुनिश्चित करना कि आपातकालीन प्रतिक्रियाएँ समावेशी हैं और विकलांग व्यक्तियों की आवश्यकताओं को पूरा करती हैं, जिनमें सुलभ रूप से निकासी करने की कार्यविधियाँ, सहायक उपकरणों का प्रावधान और रिकवरी के दौरान मनोसामाजिक सहायता शामिल है।</w:t>
      </w:r>
    </w:p>
    <w:p w14:paraId="39E099C6" w14:textId="77777777" w:rsidR="00115F42" w:rsidRPr="0060093D" w:rsidRDefault="007604C5" w:rsidP="0091047D">
      <w:pPr>
        <w:spacing w:after="120" w:line="240" w:lineRule="auto"/>
        <w:rPr>
          <w:rFonts w:ascii="Nirmala UI" w:hAnsi="Nirmala UI" w:cs="Nirmala UI"/>
        </w:rPr>
      </w:pPr>
      <w:r w:rsidRPr="0060093D">
        <w:rPr>
          <w:rFonts w:ascii="Nirmala UI" w:eastAsia="Arial Unicode MS" w:hAnsi="Nirmala UI" w:cs="Nirmala UI"/>
          <w:lang w:val="hi"/>
        </w:rPr>
        <w:t xml:space="preserve">इन्हें एनडीआईएस आपातकालीन और आपदा प्रबंधन अभ्यास मानक के प्रमुख सिद्धांतों में दर्शाया जाता है। </w:t>
      </w:r>
    </w:p>
    <w:p w14:paraId="78781BD1" w14:textId="27621005" w:rsidR="00115F42" w:rsidRPr="0060093D" w:rsidRDefault="007604C5" w:rsidP="0091047D">
      <w:pPr>
        <w:pStyle w:val="ListParagraph"/>
        <w:numPr>
          <w:ilvl w:val="0"/>
          <w:numId w:val="6"/>
        </w:numPr>
        <w:spacing w:after="120" w:line="240" w:lineRule="auto"/>
        <w:contextualSpacing w:val="0"/>
        <w:rPr>
          <w:rFonts w:ascii="Nirmala UI" w:hAnsi="Nirmala UI" w:cs="Nirmala UI"/>
        </w:rPr>
      </w:pPr>
      <w:r w:rsidRPr="0060093D">
        <w:rPr>
          <w:rFonts w:ascii="Nirmala UI" w:eastAsia="Arial Unicode MS" w:hAnsi="Nirmala UI" w:cs="Nirmala UI"/>
          <w:lang w:val="hi"/>
        </w:rPr>
        <w:t>समावेशी योजना और तैयारी: विकलांग व्यक्तियों की संपूर्ण भागीदारी और सुरक्षा को सुनिश्चित करने के लिए आपातकालीन योजना, जोखिम आकलन और तैयारी गतिविधियों में विकलांगता समावेशी दृष्टिकोण शामिल करना।</w:t>
      </w:r>
    </w:p>
    <w:p w14:paraId="32D0076E" w14:textId="780D6A54" w:rsidR="00115F42" w:rsidRPr="0060093D" w:rsidRDefault="007604C5" w:rsidP="0091047D">
      <w:pPr>
        <w:pStyle w:val="ListParagraph"/>
        <w:numPr>
          <w:ilvl w:val="0"/>
          <w:numId w:val="6"/>
        </w:numPr>
        <w:spacing w:after="120" w:line="240" w:lineRule="auto"/>
        <w:contextualSpacing w:val="0"/>
        <w:rPr>
          <w:rFonts w:ascii="Nirmala UI" w:hAnsi="Nirmala UI" w:cs="Nirmala UI"/>
        </w:rPr>
      </w:pPr>
      <w:r w:rsidRPr="0060093D">
        <w:rPr>
          <w:rFonts w:ascii="Nirmala UI" w:eastAsia="Arial Unicode MS" w:hAnsi="Nirmala UI" w:cs="Nirmala UI"/>
          <w:lang w:val="hi"/>
        </w:rPr>
        <w:t>सुलभ संचार और सूचना: विकलांग व्यक्तियों को ऐसे फॉर्मेट्स (प्रारूपों) और भाषाओं में सुलभ और समय पर जानकारी, चेतावनियां और निर्देश प्रदान करना जिन्हें वे समझ सकते हैं और एक्सेस कर सकते हैं।</w:t>
      </w:r>
    </w:p>
    <w:p w14:paraId="71B9CD04" w14:textId="77777777" w:rsidR="00115F42" w:rsidRPr="0060093D" w:rsidRDefault="007604C5" w:rsidP="0091047D">
      <w:pPr>
        <w:pStyle w:val="ListParagraph"/>
        <w:numPr>
          <w:ilvl w:val="0"/>
          <w:numId w:val="6"/>
        </w:numPr>
        <w:spacing w:after="120" w:line="240" w:lineRule="auto"/>
        <w:contextualSpacing w:val="0"/>
        <w:rPr>
          <w:rFonts w:ascii="Nirmala UI" w:hAnsi="Nirmala UI" w:cs="Nirmala UI"/>
        </w:rPr>
      </w:pPr>
      <w:r w:rsidRPr="0060093D">
        <w:rPr>
          <w:rFonts w:ascii="Nirmala UI" w:eastAsia="Arial Unicode MS" w:hAnsi="Nirmala UI" w:cs="Nirmala UI"/>
          <w:lang w:val="hi"/>
        </w:rPr>
        <w:t>सहयोग और समन्वय: आपातकालीन प्रतिक्रिया और रिकवरी प्रयासों में विकलांगता समावेशी प्रथाओं के समन्वय और एकीकरण को सुनिश्चित करने के लिए विकलांगता संगठनों, आपातकालीन प्रबंधन एजेंसियों और अन्य हितधारकों के साथ सहयोग करना।</w:t>
      </w:r>
    </w:p>
    <w:p w14:paraId="7FFB0C48" w14:textId="25385A92" w:rsidR="00115F42" w:rsidRPr="0060093D" w:rsidRDefault="007604C5" w:rsidP="0091047D">
      <w:pPr>
        <w:pStyle w:val="ListParagraph"/>
        <w:numPr>
          <w:ilvl w:val="0"/>
          <w:numId w:val="6"/>
        </w:numPr>
        <w:spacing w:after="120" w:line="240" w:lineRule="auto"/>
        <w:contextualSpacing w:val="0"/>
        <w:rPr>
          <w:rFonts w:ascii="Nirmala UI" w:hAnsi="Nirmala UI" w:cs="Nirmala UI"/>
        </w:rPr>
      </w:pPr>
      <w:r w:rsidRPr="0060093D">
        <w:rPr>
          <w:rFonts w:ascii="Nirmala UI" w:eastAsia="Arial Unicode MS" w:hAnsi="Nirmala UI" w:cs="Nirmala UI"/>
          <w:lang w:val="hi"/>
        </w:rPr>
        <w:t>अधिकार आधारित दृष्टिकोण: आपातकालीन प्रबंधन के सभी चरणों में विकलांग व्यक्तियों के अधिकारों और गरिमा को बनाए रखना, जिनमें स्वत्व अधिकार, पसंद और गैर-भेदभाव के लिए सम्मान शामिल हैं।</w:t>
      </w:r>
    </w:p>
    <w:p w14:paraId="5D1333D8" w14:textId="7DF75951" w:rsidR="00DB2622" w:rsidRPr="0060093D" w:rsidRDefault="007604C5" w:rsidP="0091047D">
      <w:pPr>
        <w:spacing w:after="120" w:line="240" w:lineRule="auto"/>
        <w:rPr>
          <w:rFonts w:ascii="Nirmala UI" w:hAnsi="Nirmala UI" w:cs="Nirmala UI"/>
          <w:b/>
          <w:bCs/>
        </w:rPr>
      </w:pPr>
      <w:r w:rsidRPr="0060093D">
        <w:rPr>
          <w:rFonts w:ascii="Nirmala UI" w:eastAsia="Arial Unicode MS" w:hAnsi="Nirmala UI" w:cs="Nirmala UI"/>
          <w:b/>
          <w:bCs/>
          <w:lang w:val="hi"/>
        </w:rPr>
        <w:t>विकलांगता समावेशी आपदा जोखिम न्यूनीकरण (Disability Inclusive Disaster Risk Reduction) (DIDRR) आपातकालीन और आपदा प्रबंधन के सभी पहलुओं में विकलांग व्यक्तियों की सुरक्षा, प्रतिरोधक्षमता और संपूर्ण भागीदारी सुनिश्चित करने के लिए अत्यावश्यक है।</w:t>
      </w:r>
    </w:p>
    <w:p w14:paraId="44B8D1E4" w14:textId="77777777" w:rsidR="00757ADF" w:rsidRDefault="007604C5" w:rsidP="0091047D">
      <w:pPr>
        <w:spacing w:after="120" w:line="240" w:lineRule="auto"/>
        <w:rPr>
          <w:rFonts w:ascii="Nirmala UI" w:eastAsia="Arial Unicode MS" w:hAnsi="Nirmala UI" w:cs="Nirmala UI"/>
          <w:b/>
          <w:bCs/>
          <w:lang w:val="hi"/>
        </w:rPr>
      </w:pPr>
      <w:r w:rsidRPr="0060093D">
        <w:rPr>
          <w:rFonts w:ascii="Nirmala UI" w:eastAsia="Arial Unicode MS" w:hAnsi="Nirmala UI" w:cs="Nirmala UI"/>
          <w:b/>
          <w:bCs/>
          <w:lang w:val="hi"/>
        </w:rPr>
        <w:t>एनडीआईएस आपातकालीन और आपदा प्रबंधन अभ्यास मानक में दर्शाए गए सिद्धांतों और प्रथाओं को लागू करके, विकलांगता सेवा प्रदाता आपात स्थितियों से पहले, इनके दौरान और इनके पश्चात विकलांग व्यक्तियों की प्रभावी ढंग से सहायता कर सकते हैं, जिससे समाज में उनके अधिकारों, भलाई और समावेश को बढ़ावा मिलता है।</w:t>
      </w:r>
    </w:p>
    <w:p w14:paraId="58D406B3" w14:textId="09C6117D" w:rsidR="00C85E4D" w:rsidRPr="00C85E4D" w:rsidRDefault="00C85E4D" w:rsidP="0091047D">
      <w:pPr>
        <w:spacing w:after="120" w:line="240" w:lineRule="auto"/>
        <w:rPr>
          <w:rFonts w:ascii="Nirmala UI" w:hAnsi="Nirmala UI" w:cs="Nirmala UI"/>
        </w:rPr>
      </w:pPr>
      <w:proofErr w:type="spellStart"/>
      <w:r w:rsidRPr="00C85E4D">
        <w:rPr>
          <w:rFonts w:ascii="Nirmala UI" w:hAnsi="Nirmala UI" w:cs="Nirmala UI" w:hint="cs"/>
        </w:rPr>
        <w:t>एनडीआईएस</w:t>
      </w:r>
      <w:proofErr w:type="spellEnd"/>
      <w:r w:rsidRPr="00C85E4D">
        <w:rPr>
          <w:rFonts w:ascii="Nirmala UI" w:hAnsi="Nirmala UI" w:cs="Nirmala UI"/>
        </w:rPr>
        <w:t xml:space="preserve"> </w:t>
      </w:r>
      <w:proofErr w:type="spellStart"/>
      <w:r w:rsidRPr="00C85E4D">
        <w:rPr>
          <w:rFonts w:ascii="Nirmala UI" w:hAnsi="Nirmala UI" w:cs="Nirmala UI" w:hint="cs"/>
        </w:rPr>
        <w:t>गुणवत्ता</w:t>
      </w:r>
      <w:proofErr w:type="spellEnd"/>
      <w:r w:rsidRPr="00C85E4D">
        <w:rPr>
          <w:rFonts w:ascii="Nirmala UI" w:hAnsi="Nirmala UI" w:cs="Nirmala UI"/>
        </w:rPr>
        <w:t xml:space="preserve"> </w:t>
      </w:r>
      <w:proofErr w:type="spellStart"/>
      <w:r w:rsidRPr="00C85E4D">
        <w:rPr>
          <w:rFonts w:ascii="Nirmala UI" w:hAnsi="Nirmala UI" w:cs="Nirmala UI" w:hint="cs"/>
        </w:rPr>
        <w:t>और</w:t>
      </w:r>
      <w:proofErr w:type="spellEnd"/>
      <w:r w:rsidRPr="00C85E4D">
        <w:rPr>
          <w:rFonts w:ascii="Nirmala UI" w:hAnsi="Nirmala UI" w:cs="Nirmala UI"/>
        </w:rPr>
        <w:t xml:space="preserve"> </w:t>
      </w:r>
      <w:proofErr w:type="spellStart"/>
      <w:r w:rsidRPr="00C85E4D">
        <w:rPr>
          <w:rFonts w:ascii="Nirmala UI" w:hAnsi="Nirmala UI" w:cs="Nirmala UI" w:hint="cs"/>
        </w:rPr>
        <w:t>सुरक्षा</w:t>
      </w:r>
      <w:proofErr w:type="spellEnd"/>
      <w:r w:rsidRPr="00C85E4D">
        <w:rPr>
          <w:rFonts w:ascii="Nirmala UI" w:hAnsi="Nirmala UI" w:cs="Nirmala UI"/>
        </w:rPr>
        <w:t xml:space="preserve"> </w:t>
      </w:r>
      <w:proofErr w:type="spellStart"/>
      <w:r w:rsidRPr="00C85E4D">
        <w:rPr>
          <w:rFonts w:ascii="Nirmala UI" w:hAnsi="Nirmala UI" w:cs="Nirmala UI" w:hint="cs"/>
        </w:rPr>
        <w:t>आयोग</w:t>
      </w:r>
      <w:proofErr w:type="spellEnd"/>
      <w:r w:rsidRPr="00C85E4D">
        <w:rPr>
          <w:rFonts w:ascii="Nirmala UI" w:hAnsi="Nirmala UI" w:cs="Nirmala UI"/>
        </w:rPr>
        <w:t xml:space="preserve"> </w:t>
      </w:r>
      <w:proofErr w:type="spellStart"/>
      <w:r w:rsidRPr="00C85E4D">
        <w:rPr>
          <w:rFonts w:ascii="Nirmala UI" w:hAnsi="Nirmala UI" w:cs="Nirmala UI" w:hint="cs"/>
        </w:rPr>
        <w:t>के</w:t>
      </w:r>
      <w:proofErr w:type="spellEnd"/>
      <w:r w:rsidRPr="00C85E4D">
        <w:rPr>
          <w:rFonts w:ascii="Nirmala UI" w:hAnsi="Nirmala UI" w:cs="Nirmala UI"/>
        </w:rPr>
        <w:t xml:space="preserve"> </w:t>
      </w:r>
      <w:proofErr w:type="spellStart"/>
      <w:r w:rsidRPr="00C85E4D">
        <w:rPr>
          <w:rFonts w:ascii="Nirmala UI" w:hAnsi="Nirmala UI" w:cs="Nirmala UI" w:hint="cs"/>
        </w:rPr>
        <w:t>अनुदान</w:t>
      </w:r>
      <w:proofErr w:type="spellEnd"/>
      <w:r w:rsidRPr="00C85E4D">
        <w:rPr>
          <w:rFonts w:ascii="Nirmala UI" w:hAnsi="Nirmala UI" w:cs="Nirmala UI"/>
        </w:rPr>
        <w:t xml:space="preserve"> </w:t>
      </w:r>
      <w:proofErr w:type="spellStart"/>
      <w:r w:rsidRPr="00C85E4D">
        <w:rPr>
          <w:rFonts w:ascii="Nirmala UI" w:hAnsi="Nirmala UI" w:cs="Nirmala UI" w:hint="cs"/>
        </w:rPr>
        <w:t>कार्यक्रम</w:t>
      </w:r>
      <w:proofErr w:type="spellEnd"/>
      <w:r w:rsidRPr="00C85E4D">
        <w:rPr>
          <w:rFonts w:ascii="Nirmala UI" w:hAnsi="Nirmala UI" w:cs="Nirmala UI"/>
        </w:rPr>
        <w:t xml:space="preserve"> </w:t>
      </w:r>
      <w:proofErr w:type="spellStart"/>
      <w:r w:rsidRPr="00C85E4D">
        <w:rPr>
          <w:rFonts w:ascii="Nirmala UI" w:hAnsi="Nirmala UI" w:cs="Nirmala UI" w:hint="cs"/>
        </w:rPr>
        <w:t>द्वारा</w:t>
      </w:r>
      <w:proofErr w:type="spellEnd"/>
      <w:r w:rsidRPr="00C85E4D">
        <w:rPr>
          <w:rFonts w:ascii="Nirmala UI" w:hAnsi="Nirmala UI" w:cs="Nirmala UI"/>
        </w:rPr>
        <w:t xml:space="preserve"> </w:t>
      </w:r>
      <w:proofErr w:type="spellStart"/>
      <w:r w:rsidRPr="00C85E4D">
        <w:rPr>
          <w:rFonts w:ascii="Nirmala UI" w:hAnsi="Nirmala UI" w:cs="Nirmala UI" w:hint="cs"/>
        </w:rPr>
        <w:t>वित्त</w:t>
      </w:r>
      <w:proofErr w:type="spellEnd"/>
      <w:r w:rsidRPr="00C85E4D">
        <w:rPr>
          <w:rFonts w:ascii="Nirmala UI" w:hAnsi="Nirmala UI" w:cs="Nirmala UI"/>
        </w:rPr>
        <w:t xml:space="preserve"> </w:t>
      </w:r>
      <w:proofErr w:type="spellStart"/>
      <w:r w:rsidRPr="00C85E4D">
        <w:rPr>
          <w:rFonts w:ascii="Nirmala UI" w:hAnsi="Nirmala UI" w:cs="Nirmala UI" w:hint="cs"/>
        </w:rPr>
        <w:t>पोषित</w:t>
      </w:r>
      <w:proofErr w:type="spellEnd"/>
    </w:p>
    <w:sectPr w:rsidR="00C85E4D" w:rsidRPr="00C85E4D" w:rsidSect="00CD110D">
      <w:headerReference w:type="default" r:id="rId13"/>
      <w:footerReference w:type="default" r:id="rId14"/>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1B156F" w14:textId="77777777" w:rsidR="009D743C" w:rsidRDefault="009D743C" w:rsidP="00A0690E">
      <w:pPr>
        <w:spacing w:after="0" w:line="240" w:lineRule="auto"/>
      </w:pPr>
      <w:r>
        <w:separator/>
      </w:r>
    </w:p>
  </w:endnote>
  <w:endnote w:type="continuationSeparator" w:id="0">
    <w:p w14:paraId="7D29BA9E" w14:textId="77777777" w:rsidR="009D743C" w:rsidRDefault="009D743C" w:rsidP="00A06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4916DBEE-4CA7-46FE-9C9D-54FC300DA9F2}"/>
    <w:embedBold r:id="rId2" w:fontKey="{CE565D1C-75B3-468A-A515-01FA90ABCAA9}"/>
    <w:embedItalic r:id="rId3" w:fontKey="{D684D286-AB12-47AE-897E-33E02FB59C5D}"/>
  </w:font>
  <w:font w:name="Aptos Display">
    <w:charset w:val="00"/>
    <w:family w:val="swiss"/>
    <w:pitch w:val="variable"/>
    <w:sig w:usb0="20000287" w:usb1="00000003" w:usb2="00000000" w:usb3="00000000" w:csb0="0000019F" w:csb1="00000000"/>
    <w:embedRegular r:id="rId4" w:fontKey="{A5FC9EBD-3E4B-429A-8FFE-4463432A63A0}"/>
  </w:font>
  <w:font w:name="DengXian Light">
    <w:charset w:val="86"/>
    <w:family w:val="auto"/>
    <w:pitch w:val="variable"/>
    <w:sig w:usb0="A00002BF" w:usb1="38CF7CFA" w:usb2="00000016" w:usb3="00000000" w:csb0="0004000F" w:csb1="00000000"/>
  </w:font>
  <w:font w:name="Nirmala UI">
    <w:panose1 w:val="020B0502040204020203"/>
    <w:charset w:val="00"/>
    <w:family w:val="swiss"/>
    <w:pitch w:val="variable"/>
    <w:sig w:usb0="80FF8023" w:usb1="0200004A" w:usb2="00000200" w:usb3="00000000" w:csb0="00000001" w:csb1="00000000"/>
    <w:embedRegular r:id="rId5" w:fontKey="{FC802514-5DC8-43A3-B13B-616A383B3B08}"/>
    <w:embedBold r:id="rId6" w:fontKey="{2907580A-D249-4BE0-BB99-E38F8470526A}"/>
    <w:embedItalic r:id="rId7" w:fontKey="{9C1EC40D-2D46-4E51-AE85-9839BFB10371}"/>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Bold r:id="rId8" w:fontKey="{47DD92B6-6B5B-44B2-B569-A259D70778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CB347" w14:textId="0D9F3F12" w:rsidR="00A651FC" w:rsidRDefault="00A651FC">
    <w:pPr>
      <w:pStyle w:val="Footer"/>
    </w:pPr>
    <w:r w:rsidRPr="00A651FC">
      <w:rPr>
        <w:rFonts w:ascii="Nirmala UI" w:eastAsia="Calibri" w:hAnsi="Nirmala UI" w:cs="Nirmala UI"/>
        <w:b/>
        <w:bCs/>
        <w:noProof/>
        <w:kern w:val="0"/>
        <w:sz w:val="28"/>
        <w:szCs w:val="28"/>
        <w:lang w:val="en-ID"/>
        <w14:ligatures w14:val="none"/>
      </w:rPr>
      <mc:AlternateContent>
        <mc:Choice Requires="wps">
          <w:drawing>
            <wp:inline distT="0" distB="0" distL="0" distR="0" wp14:anchorId="31434D5D" wp14:editId="58055C19">
              <wp:extent cx="1661823" cy="1723644"/>
              <wp:effectExtent l="0" t="0" r="0" b="19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823" cy="1723644"/>
                      </a:xfrm>
                      <a:prstGeom prst="rect">
                        <a:avLst/>
                      </a:prstGeom>
                      <a:noFill/>
                      <a:ln w="9525">
                        <a:noFill/>
                        <a:miter lim="800000"/>
                        <a:headEnd/>
                        <a:tailEnd/>
                      </a:ln>
                    </wps:spPr>
                    <wps:txbx>
                      <w:txbxContent>
                        <w:p w14:paraId="35E21889" w14:textId="77777777" w:rsidR="00A651FC" w:rsidRPr="00EB33E6" w:rsidRDefault="00A651FC" w:rsidP="00A651FC">
                          <w:pPr>
                            <w:ind w:left="-142"/>
                            <w:rPr>
                              <w:rFonts w:ascii="Nirmala UI" w:hAnsi="Nirmala UI" w:cs="Nirmala UI"/>
                              <w:sz w:val="22"/>
                              <w:szCs w:val="22"/>
                            </w:rPr>
                          </w:pPr>
                          <w:r w:rsidRPr="00EB33E6">
                            <w:rPr>
                              <w:rFonts w:ascii="Nirmala UI" w:eastAsia="Arial Unicode MS" w:hAnsi="Nirmala UI" w:cs="Nirmala UI"/>
                              <w:sz w:val="22"/>
                              <w:szCs w:val="22"/>
                              <w:lang w:val="hi"/>
                            </w:rPr>
                            <w:t>Hindi | हिन्दी</w:t>
                          </w:r>
                        </w:p>
                      </w:txbxContent>
                    </wps:txbx>
                    <wps:bodyPr rot="0" vert="horz" wrap="square" anchor="t" anchorCtr="0">
                      <a:spAutoFit/>
                    </wps:bodyPr>
                  </wps:wsp>
                </a:graphicData>
              </a:graphic>
            </wp:inline>
          </w:drawing>
        </mc:Choice>
        <mc:Fallback>
          <w:pict>
            <v:shapetype w14:anchorId="31434D5D" id="_x0000_t202" coordsize="21600,21600" o:spt="202" path="m,l,21600r21600,l21600,xe">
              <v:stroke joinstyle="miter"/>
              <v:path gradientshapeok="t" o:connecttype="rect"/>
            </v:shapetype>
            <v:shape id="Text Box 2" o:spid="_x0000_s1028" type="#_x0000_t202" style="width:130.85pt;height:13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" filled="f" stroked="f">
              <v:textbox style="mso-fit-shape-to-text:t">
                <w:txbxContent>
                  <w:p w14:paraId="35E21889" w14:textId="77777777" w:rsidR="00A651FC" w:rsidRPr="00EB33E6" w:rsidRDefault="00A651FC" w:rsidP="00A651FC">
                    <w:pPr>
                      <w:ind w:left="-142"/>
                      <w:rPr>
                        <w:rFonts w:ascii="Nirmala UI" w:hAnsi="Nirmala UI" w:cs="Nirmala UI"/>
                        <w:sz w:val="22"/>
                        <w:szCs w:val="22"/>
                      </w:rPr>
                    </w:pPr>
                    <w:r w:rsidRPr="00EB33E6">
                      <w:rPr>
                        <w:rFonts w:ascii="Nirmala UI" w:eastAsia="Arial Unicode MS" w:hAnsi="Nirmala UI" w:cs="Nirmala UI"/>
                        <w:sz w:val="22"/>
                        <w:szCs w:val="22"/>
                        <w:lang w:val="hi"/>
                      </w:rPr>
                      <w:t>Hindi | हिन्दी</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AE2F74" w14:textId="77777777" w:rsidR="009D743C" w:rsidRDefault="009D743C" w:rsidP="00A0690E">
      <w:pPr>
        <w:spacing w:after="0" w:line="240" w:lineRule="auto"/>
      </w:pPr>
      <w:r>
        <w:separator/>
      </w:r>
    </w:p>
  </w:footnote>
  <w:footnote w:type="continuationSeparator" w:id="0">
    <w:p w14:paraId="09CE9C49" w14:textId="77777777" w:rsidR="009D743C" w:rsidRDefault="009D743C" w:rsidP="00A069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73C22" w14:textId="7B31ADBB" w:rsidR="00A0690E" w:rsidRDefault="00A0690E">
    <w:pPr>
      <w:pStyle w:val="Header"/>
    </w:pPr>
    <w:r>
      <w:rPr>
        <w:noProof/>
      </w:rPr>
      <w:drawing>
        <wp:anchor distT="0" distB="0" distL="114300" distR="114300" simplePos="0" relativeHeight="251658240" behindDoc="1" locked="0" layoutInCell="1" allowOverlap="1" wp14:anchorId="3BE2E92D" wp14:editId="36350663">
          <wp:simplePos x="0" y="0"/>
          <wp:positionH relativeFrom="page">
            <wp:posOffset>0</wp:posOffset>
          </wp:positionH>
          <wp:positionV relativeFrom="page">
            <wp:posOffset>0</wp:posOffset>
          </wp:positionV>
          <wp:extent cx="7545600" cy="608400"/>
          <wp:effectExtent l="0" t="0" r="0" b="1270"/>
          <wp:wrapNone/>
          <wp:docPr id="1388419209" name="Picture 1" descr="Logo of Resources for NDIS Emergency and Disaste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19209" name="Picture 1" descr="Logo of Resources for NDIS Emergency and Disaster Management"/>
                  <pic:cNvPicPr/>
                </pic:nvPicPr>
                <pic:blipFill>
                  <a:blip r:embed="rId1">
                    <a:extLst>
                      <a:ext uri="{28A0092B-C50C-407E-A947-70E740481C1C}">
                        <a14:useLocalDpi xmlns:a14="http://schemas.microsoft.com/office/drawing/2010/main" val="0"/>
                      </a:ext>
                    </a:extLst>
                  </a:blip>
                  <a:stretch>
                    <a:fillRect/>
                  </a:stretch>
                </pic:blipFill>
                <pic:spPr>
                  <a:xfrm>
                    <a:off x="0" y="0"/>
                    <a:ext cx="7545600" cy="60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837E31"/>
    <w:multiLevelType w:val="hybridMultilevel"/>
    <w:tmpl w:val="DE448878"/>
    <w:lvl w:ilvl="0" w:tplc="3438BC04">
      <w:start w:val="1"/>
      <w:numFmt w:val="decimal"/>
      <w:lvlText w:val="%1."/>
      <w:lvlJc w:val="left"/>
      <w:pPr>
        <w:ind w:left="720" w:hanging="360"/>
      </w:pPr>
    </w:lvl>
    <w:lvl w:ilvl="1" w:tplc="75D4E696" w:tentative="1">
      <w:start w:val="1"/>
      <w:numFmt w:val="lowerLetter"/>
      <w:lvlText w:val="%2."/>
      <w:lvlJc w:val="left"/>
      <w:pPr>
        <w:ind w:left="1440" w:hanging="360"/>
      </w:pPr>
    </w:lvl>
    <w:lvl w:ilvl="2" w:tplc="CBE25540" w:tentative="1">
      <w:start w:val="1"/>
      <w:numFmt w:val="lowerRoman"/>
      <w:lvlText w:val="%3."/>
      <w:lvlJc w:val="right"/>
      <w:pPr>
        <w:ind w:left="2160" w:hanging="180"/>
      </w:pPr>
    </w:lvl>
    <w:lvl w:ilvl="3" w:tplc="13085DD0" w:tentative="1">
      <w:start w:val="1"/>
      <w:numFmt w:val="decimal"/>
      <w:lvlText w:val="%4."/>
      <w:lvlJc w:val="left"/>
      <w:pPr>
        <w:ind w:left="2880" w:hanging="360"/>
      </w:pPr>
    </w:lvl>
    <w:lvl w:ilvl="4" w:tplc="662AD784" w:tentative="1">
      <w:start w:val="1"/>
      <w:numFmt w:val="lowerLetter"/>
      <w:lvlText w:val="%5."/>
      <w:lvlJc w:val="left"/>
      <w:pPr>
        <w:ind w:left="3600" w:hanging="360"/>
      </w:pPr>
    </w:lvl>
    <w:lvl w:ilvl="5" w:tplc="60BA3F26" w:tentative="1">
      <w:start w:val="1"/>
      <w:numFmt w:val="lowerRoman"/>
      <w:lvlText w:val="%6."/>
      <w:lvlJc w:val="right"/>
      <w:pPr>
        <w:ind w:left="4320" w:hanging="180"/>
      </w:pPr>
    </w:lvl>
    <w:lvl w:ilvl="6" w:tplc="F564B3A0" w:tentative="1">
      <w:start w:val="1"/>
      <w:numFmt w:val="decimal"/>
      <w:lvlText w:val="%7."/>
      <w:lvlJc w:val="left"/>
      <w:pPr>
        <w:ind w:left="5040" w:hanging="360"/>
      </w:pPr>
    </w:lvl>
    <w:lvl w:ilvl="7" w:tplc="A1F831F2" w:tentative="1">
      <w:start w:val="1"/>
      <w:numFmt w:val="lowerLetter"/>
      <w:lvlText w:val="%8."/>
      <w:lvlJc w:val="left"/>
      <w:pPr>
        <w:ind w:left="5760" w:hanging="360"/>
      </w:pPr>
    </w:lvl>
    <w:lvl w:ilvl="8" w:tplc="7B5CE53A" w:tentative="1">
      <w:start w:val="1"/>
      <w:numFmt w:val="lowerRoman"/>
      <w:lvlText w:val="%9."/>
      <w:lvlJc w:val="right"/>
      <w:pPr>
        <w:ind w:left="6480" w:hanging="180"/>
      </w:pPr>
    </w:lvl>
  </w:abstractNum>
  <w:abstractNum w:abstractNumId="1" w15:restartNumberingAfterBreak="0">
    <w:nsid w:val="18D31481"/>
    <w:multiLevelType w:val="hybridMultilevel"/>
    <w:tmpl w:val="A19A3DA4"/>
    <w:lvl w:ilvl="0" w:tplc="2B9443DC">
      <w:start w:val="1"/>
      <w:numFmt w:val="decimal"/>
      <w:lvlText w:val="%1."/>
      <w:lvlJc w:val="left"/>
      <w:pPr>
        <w:ind w:left="720" w:hanging="360"/>
      </w:pPr>
    </w:lvl>
    <w:lvl w:ilvl="1" w:tplc="CC2A0D2A" w:tentative="1">
      <w:start w:val="1"/>
      <w:numFmt w:val="lowerLetter"/>
      <w:lvlText w:val="%2."/>
      <w:lvlJc w:val="left"/>
      <w:pPr>
        <w:ind w:left="1440" w:hanging="360"/>
      </w:pPr>
    </w:lvl>
    <w:lvl w:ilvl="2" w:tplc="78724332" w:tentative="1">
      <w:start w:val="1"/>
      <w:numFmt w:val="lowerRoman"/>
      <w:lvlText w:val="%3."/>
      <w:lvlJc w:val="right"/>
      <w:pPr>
        <w:ind w:left="2160" w:hanging="180"/>
      </w:pPr>
    </w:lvl>
    <w:lvl w:ilvl="3" w:tplc="262CAEB8" w:tentative="1">
      <w:start w:val="1"/>
      <w:numFmt w:val="decimal"/>
      <w:lvlText w:val="%4."/>
      <w:lvlJc w:val="left"/>
      <w:pPr>
        <w:ind w:left="2880" w:hanging="360"/>
      </w:pPr>
    </w:lvl>
    <w:lvl w:ilvl="4" w:tplc="4AF4DAEC" w:tentative="1">
      <w:start w:val="1"/>
      <w:numFmt w:val="lowerLetter"/>
      <w:lvlText w:val="%5."/>
      <w:lvlJc w:val="left"/>
      <w:pPr>
        <w:ind w:left="3600" w:hanging="360"/>
      </w:pPr>
    </w:lvl>
    <w:lvl w:ilvl="5" w:tplc="1E1A2C74" w:tentative="1">
      <w:start w:val="1"/>
      <w:numFmt w:val="lowerRoman"/>
      <w:lvlText w:val="%6."/>
      <w:lvlJc w:val="right"/>
      <w:pPr>
        <w:ind w:left="4320" w:hanging="180"/>
      </w:pPr>
    </w:lvl>
    <w:lvl w:ilvl="6" w:tplc="DF461718" w:tentative="1">
      <w:start w:val="1"/>
      <w:numFmt w:val="decimal"/>
      <w:lvlText w:val="%7."/>
      <w:lvlJc w:val="left"/>
      <w:pPr>
        <w:ind w:left="5040" w:hanging="360"/>
      </w:pPr>
    </w:lvl>
    <w:lvl w:ilvl="7" w:tplc="32007D06" w:tentative="1">
      <w:start w:val="1"/>
      <w:numFmt w:val="lowerLetter"/>
      <w:lvlText w:val="%8."/>
      <w:lvlJc w:val="left"/>
      <w:pPr>
        <w:ind w:left="5760" w:hanging="360"/>
      </w:pPr>
    </w:lvl>
    <w:lvl w:ilvl="8" w:tplc="B2EEF04C" w:tentative="1">
      <w:start w:val="1"/>
      <w:numFmt w:val="lowerRoman"/>
      <w:lvlText w:val="%9."/>
      <w:lvlJc w:val="right"/>
      <w:pPr>
        <w:ind w:left="6480" w:hanging="180"/>
      </w:pPr>
    </w:lvl>
  </w:abstractNum>
  <w:abstractNum w:abstractNumId="2" w15:restartNumberingAfterBreak="0">
    <w:nsid w:val="1900558A"/>
    <w:multiLevelType w:val="hybridMultilevel"/>
    <w:tmpl w:val="5E6A6950"/>
    <w:lvl w:ilvl="0" w:tplc="674AF084">
      <w:start w:val="1"/>
      <w:numFmt w:val="decimal"/>
      <w:lvlText w:val="%1."/>
      <w:lvlJc w:val="left"/>
      <w:pPr>
        <w:ind w:left="456" w:hanging="360"/>
      </w:pPr>
      <w:rPr>
        <w:rFonts w:hint="default"/>
      </w:rPr>
    </w:lvl>
    <w:lvl w:ilvl="1" w:tplc="7A022960" w:tentative="1">
      <w:start w:val="1"/>
      <w:numFmt w:val="lowerLetter"/>
      <w:lvlText w:val="%2."/>
      <w:lvlJc w:val="left"/>
      <w:pPr>
        <w:ind w:left="1176" w:hanging="360"/>
      </w:pPr>
    </w:lvl>
    <w:lvl w:ilvl="2" w:tplc="B470E29E" w:tentative="1">
      <w:start w:val="1"/>
      <w:numFmt w:val="lowerRoman"/>
      <w:lvlText w:val="%3."/>
      <w:lvlJc w:val="right"/>
      <w:pPr>
        <w:ind w:left="1896" w:hanging="180"/>
      </w:pPr>
    </w:lvl>
    <w:lvl w:ilvl="3" w:tplc="6CA6A8DE" w:tentative="1">
      <w:start w:val="1"/>
      <w:numFmt w:val="decimal"/>
      <w:lvlText w:val="%4."/>
      <w:lvlJc w:val="left"/>
      <w:pPr>
        <w:ind w:left="2616" w:hanging="360"/>
      </w:pPr>
    </w:lvl>
    <w:lvl w:ilvl="4" w:tplc="E70C4E9C" w:tentative="1">
      <w:start w:val="1"/>
      <w:numFmt w:val="lowerLetter"/>
      <w:lvlText w:val="%5."/>
      <w:lvlJc w:val="left"/>
      <w:pPr>
        <w:ind w:left="3336" w:hanging="360"/>
      </w:pPr>
    </w:lvl>
    <w:lvl w:ilvl="5" w:tplc="4AB6AACA" w:tentative="1">
      <w:start w:val="1"/>
      <w:numFmt w:val="lowerRoman"/>
      <w:lvlText w:val="%6."/>
      <w:lvlJc w:val="right"/>
      <w:pPr>
        <w:ind w:left="4056" w:hanging="180"/>
      </w:pPr>
    </w:lvl>
    <w:lvl w:ilvl="6" w:tplc="9F1C8FE4" w:tentative="1">
      <w:start w:val="1"/>
      <w:numFmt w:val="decimal"/>
      <w:lvlText w:val="%7."/>
      <w:lvlJc w:val="left"/>
      <w:pPr>
        <w:ind w:left="4776" w:hanging="360"/>
      </w:pPr>
    </w:lvl>
    <w:lvl w:ilvl="7" w:tplc="9236B714" w:tentative="1">
      <w:start w:val="1"/>
      <w:numFmt w:val="lowerLetter"/>
      <w:lvlText w:val="%8."/>
      <w:lvlJc w:val="left"/>
      <w:pPr>
        <w:ind w:left="5496" w:hanging="360"/>
      </w:pPr>
    </w:lvl>
    <w:lvl w:ilvl="8" w:tplc="0374B870" w:tentative="1">
      <w:start w:val="1"/>
      <w:numFmt w:val="lowerRoman"/>
      <w:lvlText w:val="%9."/>
      <w:lvlJc w:val="right"/>
      <w:pPr>
        <w:ind w:left="6216" w:hanging="180"/>
      </w:pPr>
    </w:lvl>
  </w:abstractNum>
  <w:abstractNum w:abstractNumId="3" w15:restartNumberingAfterBreak="0">
    <w:nsid w:val="3FB3024B"/>
    <w:multiLevelType w:val="hybridMultilevel"/>
    <w:tmpl w:val="3B5C8E08"/>
    <w:lvl w:ilvl="0" w:tplc="5EF450EC">
      <w:start w:val="1"/>
      <w:numFmt w:val="bullet"/>
      <w:lvlText w:val="•"/>
      <w:lvlJc w:val="left"/>
      <w:pPr>
        <w:tabs>
          <w:tab w:val="num" w:pos="720"/>
        </w:tabs>
        <w:ind w:left="720" w:hanging="360"/>
      </w:pPr>
      <w:rPr>
        <w:rFonts w:ascii="Times New Roman" w:hAnsi="Times New Roman" w:hint="default"/>
      </w:rPr>
    </w:lvl>
    <w:lvl w:ilvl="1" w:tplc="D9F41EBA" w:tentative="1">
      <w:start w:val="1"/>
      <w:numFmt w:val="bullet"/>
      <w:lvlText w:val="•"/>
      <w:lvlJc w:val="left"/>
      <w:pPr>
        <w:tabs>
          <w:tab w:val="num" w:pos="1440"/>
        </w:tabs>
        <w:ind w:left="1440" w:hanging="360"/>
      </w:pPr>
      <w:rPr>
        <w:rFonts w:ascii="Times New Roman" w:hAnsi="Times New Roman" w:hint="default"/>
      </w:rPr>
    </w:lvl>
    <w:lvl w:ilvl="2" w:tplc="4DE26B46" w:tentative="1">
      <w:start w:val="1"/>
      <w:numFmt w:val="bullet"/>
      <w:lvlText w:val="•"/>
      <w:lvlJc w:val="left"/>
      <w:pPr>
        <w:tabs>
          <w:tab w:val="num" w:pos="2160"/>
        </w:tabs>
        <w:ind w:left="2160" w:hanging="360"/>
      </w:pPr>
      <w:rPr>
        <w:rFonts w:ascii="Times New Roman" w:hAnsi="Times New Roman" w:hint="default"/>
      </w:rPr>
    </w:lvl>
    <w:lvl w:ilvl="3" w:tplc="D3945C90" w:tentative="1">
      <w:start w:val="1"/>
      <w:numFmt w:val="bullet"/>
      <w:lvlText w:val="•"/>
      <w:lvlJc w:val="left"/>
      <w:pPr>
        <w:tabs>
          <w:tab w:val="num" w:pos="2880"/>
        </w:tabs>
        <w:ind w:left="2880" w:hanging="360"/>
      </w:pPr>
      <w:rPr>
        <w:rFonts w:ascii="Times New Roman" w:hAnsi="Times New Roman" w:hint="default"/>
      </w:rPr>
    </w:lvl>
    <w:lvl w:ilvl="4" w:tplc="7A8A6DA4" w:tentative="1">
      <w:start w:val="1"/>
      <w:numFmt w:val="bullet"/>
      <w:lvlText w:val="•"/>
      <w:lvlJc w:val="left"/>
      <w:pPr>
        <w:tabs>
          <w:tab w:val="num" w:pos="3600"/>
        </w:tabs>
        <w:ind w:left="3600" w:hanging="360"/>
      </w:pPr>
      <w:rPr>
        <w:rFonts w:ascii="Times New Roman" w:hAnsi="Times New Roman" w:hint="default"/>
      </w:rPr>
    </w:lvl>
    <w:lvl w:ilvl="5" w:tplc="BDC238F0" w:tentative="1">
      <w:start w:val="1"/>
      <w:numFmt w:val="bullet"/>
      <w:lvlText w:val="•"/>
      <w:lvlJc w:val="left"/>
      <w:pPr>
        <w:tabs>
          <w:tab w:val="num" w:pos="4320"/>
        </w:tabs>
        <w:ind w:left="4320" w:hanging="360"/>
      </w:pPr>
      <w:rPr>
        <w:rFonts w:ascii="Times New Roman" w:hAnsi="Times New Roman" w:hint="default"/>
      </w:rPr>
    </w:lvl>
    <w:lvl w:ilvl="6" w:tplc="B3A2E052" w:tentative="1">
      <w:start w:val="1"/>
      <w:numFmt w:val="bullet"/>
      <w:lvlText w:val="•"/>
      <w:lvlJc w:val="left"/>
      <w:pPr>
        <w:tabs>
          <w:tab w:val="num" w:pos="5040"/>
        </w:tabs>
        <w:ind w:left="5040" w:hanging="360"/>
      </w:pPr>
      <w:rPr>
        <w:rFonts w:ascii="Times New Roman" w:hAnsi="Times New Roman" w:hint="default"/>
      </w:rPr>
    </w:lvl>
    <w:lvl w:ilvl="7" w:tplc="274CD332" w:tentative="1">
      <w:start w:val="1"/>
      <w:numFmt w:val="bullet"/>
      <w:lvlText w:val="•"/>
      <w:lvlJc w:val="left"/>
      <w:pPr>
        <w:tabs>
          <w:tab w:val="num" w:pos="5760"/>
        </w:tabs>
        <w:ind w:left="5760" w:hanging="360"/>
      </w:pPr>
      <w:rPr>
        <w:rFonts w:ascii="Times New Roman" w:hAnsi="Times New Roman" w:hint="default"/>
      </w:rPr>
    </w:lvl>
    <w:lvl w:ilvl="8" w:tplc="C9BCD17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4722473"/>
    <w:multiLevelType w:val="multilevel"/>
    <w:tmpl w:val="0E321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EE47646"/>
    <w:multiLevelType w:val="hybridMultilevel"/>
    <w:tmpl w:val="6B808F62"/>
    <w:lvl w:ilvl="0" w:tplc="84A07744">
      <w:start w:val="1"/>
      <w:numFmt w:val="bullet"/>
      <w:lvlText w:val="•"/>
      <w:lvlJc w:val="left"/>
      <w:pPr>
        <w:tabs>
          <w:tab w:val="num" w:pos="720"/>
        </w:tabs>
        <w:ind w:left="720" w:hanging="360"/>
      </w:pPr>
      <w:rPr>
        <w:rFonts w:ascii="Arial" w:hAnsi="Arial" w:hint="default"/>
      </w:rPr>
    </w:lvl>
    <w:lvl w:ilvl="1" w:tplc="E56C1BA0" w:tentative="1">
      <w:start w:val="1"/>
      <w:numFmt w:val="bullet"/>
      <w:lvlText w:val="•"/>
      <w:lvlJc w:val="left"/>
      <w:pPr>
        <w:tabs>
          <w:tab w:val="num" w:pos="1440"/>
        </w:tabs>
        <w:ind w:left="1440" w:hanging="360"/>
      </w:pPr>
      <w:rPr>
        <w:rFonts w:ascii="Arial" w:hAnsi="Arial" w:hint="default"/>
      </w:rPr>
    </w:lvl>
    <w:lvl w:ilvl="2" w:tplc="4BF0A08E" w:tentative="1">
      <w:start w:val="1"/>
      <w:numFmt w:val="bullet"/>
      <w:lvlText w:val="•"/>
      <w:lvlJc w:val="left"/>
      <w:pPr>
        <w:tabs>
          <w:tab w:val="num" w:pos="2160"/>
        </w:tabs>
        <w:ind w:left="2160" w:hanging="360"/>
      </w:pPr>
      <w:rPr>
        <w:rFonts w:ascii="Arial" w:hAnsi="Arial" w:hint="default"/>
      </w:rPr>
    </w:lvl>
    <w:lvl w:ilvl="3" w:tplc="0840D67C" w:tentative="1">
      <w:start w:val="1"/>
      <w:numFmt w:val="bullet"/>
      <w:lvlText w:val="•"/>
      <w:lvlJc w:val="left"/>
      <w:pPr>
        <w:tabs>
          <w:tab w:val="num" w:pos="2880"/>
        </w:tabs>
        <w:ind w:left="2880" w:hanging="360"/>
      </w:pPr>
      <w:rPr>
        <w:rFonts w:ascii="Arial" w:hAnsi="Arial" w:hint="default"/>
      </w:rPr>
    </w:lvl>
    <w:lvl w:ilvl="4" w:tplc="FF621914" w:tentative="1">
      <w:start w:val="1"/>
      <w:numFmt w:val="bullet"/>
      <w:lvlText w:val="•"/>
      <w:lvlJc w:val="left"/>
      <w:pPr>
        <w:tabs>
          <w:tab w:val="num" w:pos="3600"/>
        </w:tabs>
        <w:ind w:left="3600" w:hanging="360"/>
      </w:pPr>
      <w:rPr>
        <w:rFonts w:ascii="Arial" w:hAnsi="Arial" w:hint="default"/>
      </w:rPr>
    </w:lvl>
    <w:lvl w:ilvl="5" w:tplc="560C6384" w:tentative="1">
      <w:start w:val="1"/>
      <w:numFmt w:val="bullet"/>
      <w:lvlText w:val="•"/>
      <w:lvlJc w:val="left"/>
      <w:pPr>
        <w:tabs>
          <w:tab w:val="num" w:pos="4320"/>
        </w:tabs>
        <w:ind w:left="4320" w:hanging="360"/>
      </w:pPr>
      <w:rPr>
        <w:rFonts w:ascii="Arial" w:hAnsi="Arial" w:hint="default"/>
      </w:rPr>
    </w:lvl>
    <w:lvl w:ilvl="6" w:tplc="1870FBE4" w:tentative="1">
      <w:start w:val="1"/>
      <w:numFmt w:val="bullet"/>
      <w:lvlText w:val="•"/>
      <w:lvlJc w:val="left"/>
      <w:pPr>
        <w:tabs>
          <w:tab w:val="num" w:pos="5040"/>
        </w:tabs>
        <w:ind w:left="5040" w:hanging="360"/>
      </w:pPr>
      <w:rPr>
        <w:rFonts w:ascii="Arial" w:hAnsi="Arial" w:hint="default"/>
      </w:rPr>
    </w:lvl>
    <w:lvl w:ilvl="7" w:tplc="1824792A" w:tentative="1">
      <w:start w:val="1"/>
      <w:numFmt w:val="bullet"/>
      <w:lvlText w:val="•"/>
      <w:lvlJc w:val="left"/>
      <w:pPr>
        <w:tabs>
          <w:tab w:val="num" w:pos="5760"/>
        </w:tabs>
        <w:ind w:left="5760" w:hanging="360"/>
      </w:pPr>
      <w:rPr>
        <w:rFonts w:ascii="Arial" w:hAnsi="Arial" w:hint="default"/>
      </w:rPr>
    </w:lvl>
    <w:lvl w:ilvl="8" w:tplc="9F0ABE6C" w:tentative="1">
      <w:start w:val="1"/>
      <w:numFmt w:val="bullet"/>
      <w:lvlText w:val="•"/>
      <w:lvlJc w:val="left"/>
      <w:pPr>
        <w:tabs>
          <w:tab w:val="num" w:pos="6480"/>
        </w:tabs>
        <w:ind w:left="6480" w:hanging="360"/>
      </w:pPr>
      <w:rPr>
        <w:rFonts w:ascii="Arial" w:hAnsi="Arial" w:hint="default"/>
      </w:rPr>
    </w:lvl>
  </w:abstractNum>
  <w:num w:numId="1" w16cid:durableId="1932352319">
    <w:abstractNumId w:val="5"/>
  </w:num>
  <w:num w:numId="2" w16cid:durableId="828593875">
    <w:abstractNumId w:val="4"/>
  </w:num>
  <w:num w:numId="3" w16cid:durableId="1166479933">
    <w:abstractNumId w:val="3"/>
  </w:num>
  <w:num w:numId="4" w16cid:durableId="1813716957">
    <w:abstractNumId w:val="0"/>
  </w:num>
  <w:num w:numId="5" w16cid:durableId="59014146">
    <w:abstractNumId w:val="1"/>
  </w:num>
  <w:num w:numId="6" w16cid:durableId="892546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F42"/>
    <w:rsid w:val="0000557A"/>
    <w:rsid w:val="00022306"/>
    <w:rsid w:val="00022D3D"/>
    <w:rsid w:val="00085D5A"/>
    <w:rsid w:val="00094917"/>
    <w:rsid w:val="000D18BA"/>
    <w:rsid w:val="00115F42"/>
    <w:rsid w:val="00147F3E"/>
    <w:rsid w:val="00154823"/>
    <w:rsid w:val="001C5974"/>
    <w:rsid w:val="001E4608"/>
    <w:rsid w:val="00203231"/>
    <w:rsid w:val="00203983"/>
    <w:rsid w:val="00214CDB"/>
    <w:rsid w:val="00220AC9"/>
    <w:rsid w:val="00246298"/>
    <w:rsid w:val="002626B3"/>
    <w:rsid w:val="0027602D"/>
    <w:rsid w:val="00296223"/>
    <w:rsid w:val="002C54BB"/>
    <w:rsid w:val="002E0FCF"/>
    <w:rsid w:val="002E2E0B"/>
    <w:rsid w:val="00326121"/>
    <w:rsid w:val="003471F7"/>
    <w:rsid w:val="003A0C85"/>
    <w:rsid w:val="003E5447"/>
    <w:rsid w:val="00436CA3"/>
    <w:rsid w:val="00450CC3"/>
    <w:rsid w:val="00455097"/>
    <w:rsid w:val="00475CF6"/>
    <w:rsid w:val="004C37B2"/>
    <w:rsid w:val="00506A5B"/>
    <w:rsid w:val="00513CD2"/>
    <w:rsid w:val="00554370"/>
    <w:rsid w:val="0056443B"/>
    <w:rsid w:val="00582C5D"/>
    <w:rsid w:val="005C1687"/>
    <w:rsid w:val="005C239F"/>
    <w:rsid w:val="005D5A3F"/>
    <w:rsid w:val="00600024"/>
    <w:rsid w:val="0060093D"/>
    <w:rsid w:val="00605CF4"/>
    <w:rsid w:val="0062521A"/>
    <w:rsid w:val="006419C5"/>
    <w:rsid w:val="00672D91"/>
    <w:rsid w:val="00757ADF"/>
    <w:rsid w:val="007604C5"/>
    <w:rsid w:val="00762D9B"/>
    <w:rsid w:val="007727F5"/>
    <w:rsid w:val="007C2C0A"/>
    <w:rsid w:val="008008ED"/>
    <w:rsid w:val="00814487"/>
    <w:rsid w:val="00874C89"/>
    <w:rsid w:val="008D4365"/>
    <w:rsid w:val="008E0E0F"/>
    <w:rsid w:val="008F40B3"/>
    <w:rsid w:val="0091047D"/>
    <w:rsid w:val="009336DE"/>
    <w:rsid w:val="00974FCC"/>
    <w:rsid w:val="009C485F"/>
    <w:rsid w:val="009D43ED"/>
    <w:rsid w:val="009D5E12"/>
    <w:rsid w:val="009D743C"/>
    <w:rsid w:val="00A0690E"/>
    <w:rsid w:val="00A20252"/>
    <w:rsid w:val="00A651FC"/>
    <w:rsid w:val="00A7090E"/>
    <w:rsid w:val="00B34D7E"/>
    <w:rsid w:val="00B3663E"/>
    <w:rsid w:val="00B408F5"/>
    <w:rsid w:val="00B5618B"/>
    <w:rsid w:val="00BC2759"/>
    <w:rsid w:val="00BC3434"/>
    <w:rsid w:val="00BF4E88"/>
    <w:rsid w:val="00C219BF"/>
    <w:rsid w:val="00C34F6D"/>
    <w:rsid w:val="00C76C4B"/>
    <w:rsid w:val="00C85E4D"/>
    <w:rsid w:val="00CD110D"/>
    <w:rsid w:val="00D41F06"/>
    <w:rsid w:val="00D5104A"/>
    <w:rsid w:val="00D9146A"/>
    <w:rsid w:val="00DB2622"/>
    <w:rsid w:val="00DB6F88"/>
    <w:rsid w:val="00E07F39"/>
    <w:rsid w:val="00E115BD"/>
    <w:rsid w:val="00E23D87"/>
    <w:rsid w:val="00E35687"/>
    <w:rsid w:val="00E71FAE"/>
    <w:rsid w:val="00E8447B"/>
    <w:rsid w:val="00EB33E6"/>
    <w:rsid w:val="00ED1255"/>
    <w:rsid w:val="00EE6D94"/>
    <w:rsid w:val="00EF4BA4"/>
    <w:rsid w:val="00EF5898"/>
    <w:rsid w:val="00F15BF7"/>
    <w:rsid w:val="00F47DB1"/>
    <w:rsid w:val="00F612C1"/>
    <w:rsid w:val="00F926BF"/>
    <w:rsid w:val="00FD2845"/>
    <w:rsid w:val="00FE35DA"/>
    <w:rsid w:val="00FE7B6F"/>
    <w:rsid w:val="00FF244C"/>
    <w:rsid w:val="00FF7E2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AE2DB"/>
  <w15:chartTrackingRefBased/>
  <w15:docId w15:val="{01C983D4-8E0E-4153-9599-3F133B1F9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15F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15F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5F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5F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5F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5F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5F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5F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5F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F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15F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5F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5F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5F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5F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5F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5F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5F42"/>
    <w:rPr>
      <w:rFonts w:eastAsiaTheme="majorEastAsia" w:cstheme="majorBidi"/>
      <w:color w:val="272727" w:themeColor="text1" w:themeTint="D8"/>
    </w:rPr>
  </w:style>
  <w:style w:type="paragraph" w:styleId="Title">
    <w:name w:val="Title"/>
    <w:basedOn w:val="Normal"/>
    <w:next w:val="Normal"/>
    <w:link w:val="TitleChar"/>
    <w:uiPriority w:val="10"/>
    <w:qFormat/>
    <w:rsid w:val="00115F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5F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5F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5F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5F42"/>
    <w:pPr>
      <w:spacing w:before="160"/>
      <w:jc w:val="center"/>
    </w:pPr>
    <w:rPr>
      <w:i/>
      <w:iCs/>
      <w:color w:val="404040" w:themeColor="text1" w:themeTint="BF"/>
    </w:rPr>
  </w:style>
  <w:style w:type="character" w:customStyle="1" w:styleId="QuoteChar">
    <w:name w:val="Quote Char"/>
    <w:basedOn w:val="DefaultParagraphFont"/>
    <w:link w:val="Quote"/>
    <w:uiPriority w:val="29"/>
    <w:rsid w:val="00115F42"/>
    <w:rPr>
      <w:i/>
      <w:iCs/>
      <w:color w:val="404040" w:themeColor="text1" w:themeTint="BF"/>
    </w:rPr>
  </w:style>
  <w:style w:type="paragraph" w:styleId="ListParagraph">
    <w:name w:val="List Paragraph"/>
    <w:basedOn w:val="Normal"/>
    <w:uiPriority w:val="34"/>
    <w:qFormat/>
    <w:rsid w:val="00115F42"/>
    <w:pPr>
      <w:ind w:left="720"/>
      <w:contextualSpacing/>
    </w:pPr>
  </w:style>
  <w:style w:type="character" w:styleId="IntenseEmphasis">
    <w:name w:val="Intense Emphasis"/>
    <w:basedOn w:val="DefaultParagraphFont"/>
    <w:uiPriority w:val="21"/>
    <w:qFormat/>
    <w:rsid w:val="00115F42"/>
    <w:rPr>
      <w:i/>
      <w:iCs/>
      <w:color w:val="0F4761" w:themeColor="accent1" w:themeShade="BF"/>
    </w:rPr>
  </w:style>
  <w:style w:type="paragraph" w:styleId="IntenseQuote">
    <w:name w:val="Intense Quote"/>
    <w:basedOn w:val="Normal"/>
    <w:next w:val="Normal"/>
    <w:link w:val="IntenseQuoteChar"/>
    <w:uiPriority w:val="30"/>
    <w:qFormat/>
    <w:rsid w:val="00115F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5F42"/>
    <w:rPr>
      <w:i/>
      <w:iCs/>
      <w:color w:val="0F4761" w:themeColor="accent1" w:themeShade="BF"/>
    </w:rPr>
  </w:style>
  <w:style w:type="character" w:styleId="IntenseReference">
    <w:name w:val="Intense Reference"/>
    <w:basedOn w:val="DefaultParagraphFont"/>
    <w:uiPriority w:val="32"/>
    <w:qFormat/>
    <w:rsid w:val="00115F42"/>
    <w:rPr>
      <w:b/>
      <w:bCs/>
      <w:smallCaps/>
      <w:color w:val="0F4761" w:themeColor="accent1" w:themeShade="BF"/>
      <w:spacing w:val="5"/>
    </w:rPr>
  </w:style>
  <w:style w:type="character" w:styleId="Hyperlink">
    <w:name w:val="Hyperlink"/>
    <w:basedOn w:val="DefaultParagraphFont"/>
    <w:uiPriority w:val="99"/>
    <w:unhideWhenUsed/>
    <w:rsid w:val="00FF7E29"/>
    <w:rPr>
      <w:color w:val="467886" w:themeColor="hyperlink"/>
      <w:u w:val="single"/>
    </w:rPr>
  </w:style>
  <w:style w:type="character" w:customStyle="1" w:styleId="UnresolvedMention1">
    <w:name w:val="Unresolved Mention1"/>
    <w:basedOn w:val="DefaultParagraphFont"/>
    <w:uiPriority w:val="99"/>
    <w:semiHidden/>
    <w:unhideWhenUsed/>
    <w:rsid w:val="00FF7E29"/>
    <w:rPr>
      <w:color w:val="605E5C"/>
      <w:shd w:val="clear" w:color="auto" w:fill="E1DFDD"/>
    </w:rPr>
  </w:style>
  <w:style w:type="paragraph" w:styleId="Header">
    <w:name w:val="header"/>
    <w:basedOn w:val="Normal"/>
    <w:link w:val="HeaderChar"/>
    <w:uiPriority w:val="99"/>
    <w:unhideWhenUsed/>
    <w:rsid w:val="002C5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54BB"/>
  </w:style>
  <w:style w:type="paragraph" w:styleId="Footer">
    <w:name w:val="footer"/>
    <w:basedOn w:val="Normal"/>
    <w:link w:val="FooterChar"/>
    <w:uiPriority w:val="99"/>
    <w:unhideWhenUsed/>
    <w:rsid w:val="002C5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54BB"/>
  </w:style>
  <w:style w:type="paragraph" w:styleId="Revision">
    <w:name w:val="Revision"/>
    <w:hidden/>
    <w:uiPriority w:val="99"/>
    <w:semiHidden/>
    <w:rsid w:val="005C16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hyperlink" Target="https://nema.gov.au/about-us/policies/strategies-and-frameworks/disaster-risk-reductio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4EBDBB-4C9E-4344-B6BB-4FA0440C6136}" type="doc">
      <dgm:prSet loTypeId="urn:microsoft.com/office/officeart/2005/8/layout/hierarchy2#1" loCatId="hierarchy" qsTypeId="urn:microsoft.com/office/officeart/2005/8/quickstyle/simple1" qsCatId="simple" csTypeId="urn:microsoft.com/office/officeart/2005/8/colors/accent1_2" csCatId="accent1" phldr="1"/>
      <dgm:spPr/>
      <dgm:t>
        <a:bodyPr/>
        <a:lstStyle/>
        <a:p>
          <a:endParaRPr lang="en-US"/>
        </a:p>
      </dgm:t>
    </dgm:pt>
    <dgm:pt modelId="{02D4C5AE-7CDF-4236-843B-31C8FBB14B9B}">
      <dgm:prSet phldrT="[Text]" custT="1"/>
      <dgm:spPr/>
      <dgm:t>
        <a:bodyPr/>
        <a:lstStyle/>
        <a:p>
          <a:r>
            <a:rPr lang="hi-IN" sz="1200" b="1">
              <a:latin typeface="Nirmala UI" panose="020B0502040204020203" pitchFamily="34" charset="0"/>
              <a:ea typeface="Nirmala UI" panose="020B0502040204020203" pitchFamily="34" charset="0"/>
              <a:cs typeface="Nirmala UI" panose="020B0502040204020203" pitchFamily="34" charset="0"/>
            </a:rPr>
            <a:t>आपदा जोखिम न्यूनीकरण के लिए सेंडाई (</a:t>
          </a:r>
          <a:r>
            <a:rPr lang="en-PH" sz="1200" b="1">
              <a:latin typeface="Nirmala UI" panose="020B0502040204020203" pitchFamily="34" charset="0"/>
              <a:ea typeface="Nirmala UI" panose="020B0502040204020203" pitchFamily="34" charset="0"/>
              <a:cs typeface="Nirmala UI" panose="020B0502040204020203" pitchFamily="34" charset="0"/>
            </a:rPr>
            <a:t>Sendai) </a:t>
          </a:r>
          <a:r>
            <a:rPr lang="hi-IN" sz="1200" b="1">
              <a:latin typeface="Nirmala UI" panose="020B0502040204020203" pitchFamily="34" charset="0"/>
              <a:ea typeface="Nirmala UI" panose="020B0502040204020203" pitchFamily="34" charset="0"/>
              <a:cs typeface="Nirmala UI" panose="020B0502040204020203" pitchFamily="34" charset="0"/>
            </a:rPr>
            <a:t>फ्रेमवर्क</a:t>
          </a:r>
          <a:r>
            <a:rPr lang="en-US" sz="1200" b="1">
              <a:latin typeface="Nirmala UI" panose="020B0502040204020203" pitchFamily="34" charset="0"/>
              <a:ea typeface="Nirmala UI" panose="020B0502040204020203" pitchFamily="34" charset="0"/>
              <a:cs typeface="Nirmala UI" panose="020B0502040204020203" pitchFamily="34" charset="0"/>
            </a:rPr>
            <a:t> </a:t>
          </a:r>
        </a:p>
        <a:p>
          <a:r>
            <a:rPr lang="en-US" sz="1200" b="1">
              <a:latin typeface="Nirmala UI" panose="020B0502040204020203" pitchFamily="34" charset="0"/>
              <a:ea typeface="Nirmala UI" panose="020B0502040204020203" pitchFamily="34" charset="0"/>
              <a:cs typeface="Nirmala UI" panose="020B0502040204020203" pitchFamily="34" charset="0"/>
            </a:rPr>
            <a:t>2015-2030 </a:t>
          </a:r>
        </a:p>
      </dgm:t>
    </dgm:pt>
    <dgm:pt modelId="{671A9978-292A-4A8C-B4B9-C45B029E2C73}" type="parTrans" cxnId="{713D1BAE-3C38-46D5-8B38-6FE70670FF67}">
      <dgm:prSet/>
      <dgm:spPr/>
      <dgm:t>
        <a:bodyPr/>
        <a:lstStyle/>
        <a:p>
          <a:endParaRPr lang="en-US"/>
        </a:p>
      </dgm:t>
    </dgm:pt>
    <dgm:pt modelId="{CC9ED4BA-A6FC-4BDD-98D8-A1E6C3152AC2}" type="sibTrans" cxnId="{713D1BAE-3C38-46D5-8B38-6FE70670FF67}">
      <dgm:prSet/>
      <dgm:spPr/>
      <dgm:t>
        <a:bodyPr/>
        <a:lstStyle/>
        <a:p>
          <a:endParaRPr lang="en-US"/>
        </a:p>
      </dgm:t>
    </dgm:pt>
    <dgm:pt modelId="{433ECCE0-F9C8-4C24-9F07-CA77DCFD03BF}">
      <dgm:prSet phldrT="[Text]"/>
      <dgm:spPr/>
      <dgm:t>
        <a:bodyPr/>
        <a:lstStyle/>
        <a:p>
          <a:r>
            <a:rPr lang="hi-IN" b="1">
              <a:latin typeface="Nirmala UI" panose="020B0502040204020203" pitchFamily="34" charset="0"/>
              <a:ea typeface="Nirmala UI" panose="020B0502040204020203" pitchFamily="34" charset="0"/>
              <a:cs typeface="Nirmala UI" panose="020B0502040204020203" pitchFamily="34" charset="0"/>
            </a:rPr>
            <a:t>राष्ट्रीय आपदा जोखिम न्यूनीकरण फ्रेमवर्क</a:t>
          </a:r>
          <a:endParaRPr lang="en-US" b="1">
            <a:latin typeface="Nirmala UI" panose="020B0502040204020203" pitchFamily="34" charset="0"/>
            <a:ea typeface="Nirmala UI" panose="020B0502040204020203" pitchFamily="34" charset="0"/>
            <a:cs typeface="Nirmala UI" panose="020B0502040204020203" pitchFamily="34" charset="0"/>
          </a:endParaRPr>
        </a:p>
      </dgm:t>
    </dgm:pt>
    <dgm:pt modelId="{6D5A4C7A-1E05-4C1D-8796-8CEDB626A78F}" type="parTrans" cxnId="{3C556844-7AC8-4BF3-82D1-7A3F0103C3C7}">
      <dgm:prSet/>
      <dgm:spPr/>
      <dgm:t>
        <a:bodyPr/>
        <a:lstStyle/>
        <a:p>
          <a:endParaRPr lang="en-US"/>
        </a:p>
      </dgm:t>
    </dgm:pt>
    <dgm:pt modelId="{2CBCF42C-28F1-4E2E-A836-897FCC4DFC66}" type="sibTrans" cxnId="{3C556844-7AC8-4BF3-82D1-7A3F0103C3C7}">
      <dgm:prSet/>
      <dgm:spPr/>
      <dgm:t>
        <a:bodyPr/>
        <a:lstStyle/>
        <a:p>
          <a:endParaRPr lang="en-US"/>
        </a:p>
      </dgm:t>
    </dgm:pt>
    <dgm:pt modelId="{D26AFC5F-14ED-4A7F-B360-635299D5AED6}">
      <dgm:prSet phldrT="[Text]"/>
      <dgm:spPr/>
      <dgm:t>
        <a:bodyPr/>
        <a:lstStyle/>
        <a:p>
          <a:r>
            <a:rPr lang="hi-IN" b="1">
              <a:latin typeface="Nirmala UI" panose="020B0502040204020203" pitchFamily="34" charset="0"/>
              <a:ea typeface="Nirmala UI" panose="020B0502040204020203" pitchFamily="34" charset="0"/>
              <a:cs typeface="Nirmala UI" panose="020B0502040204020203" pitchFamily="34" charset="0"/>
            </a:rPr>
            <a:t>आपातकालीन और आपदा प्रबंधन के लिए </a:t>
          </a:r>
          <a:r>
            <a:rPr lang="en-PH" b="1">
              <a:latin typeface="Nirmala UI" panose="020B0502040204020203" pitchFamily="34" charset="0"/>
              <a:ea typeface="Nirmala UI" panose="020B0502040204020203" pitchFamily="34" charset="0"/>
              <a:cs typeface="Nirmala UI" panose="020B0502040204020203" pitchFamily="34" charset="0"/>
            </a:rPr>
            <a:t>NDIS </a:t>
          </a:r>
          <a:r>
            <a:rPr lang="hi-IN" b="1">
              <a:latin typeface="Nirmala UI" panose="020B0502040204020203" pitchFamily="34" charset="0"/>
              <a:ea typeface="Nirmala UI" panose="020B0502040204020203" pitchFamily="34" charset="0"/>
              <a:cs typeface="Nirmala UI" panose="020B0502040204020203" pitchFamily="34" charset="0"/>
            </a:rPr>
            <a:t>अभ्यास मानक</a:t>
          </a:r>
          <a:endParaRPr lang="en-PH" b="1">
            <a:latin typeface="Nirmala UI" panose="020B0502040204020203" pitchFamily="34" charset="0"/>
            <a:ea typeface="Nirmala UI" panose="020B0502040204020203" pitchFamily="34" charset="0"/>
            <a:cs typeface="Nirmala UI" panose="020B0502040204020203" pitchFamily="34" charset="0"/>
          </a:endParaRPr>
        </a:p>
        <a:p>
          <a:endParaRPr lang="en-PH" b="1">
            <a:latin typeface="Nirmala UI" panose="020B0502040204020203" pitchFamily="34" charset="0"/>
            <a:ea typeface="Nirmala UI" panose="020B0502040204020203" pitchFamily="34" charset="0"/>
            <a:cs typeface="Nirmala UI" panose="020B0502040204020203" pitchFamily="34" charset="0"/>
          </a:endParaRPr>
        </a:p>
        <a:p>
          <a:r>
            <a:rPr lang="en-PH" b="1">
              <a:latin typeface="Nirmala UI" panose="020B0502040204020203" pitchFamily="34" charset="0"/>
              <a:ea typeface="Nirmala UI" panose="020B0502040204020203" pitchFamily="34" charset="0"/>
              <a:cs typeface="Nirmala UI" panose="020B0502040204020203" pitchFamily="34" charset="0"/>
            </a:rPr>
            <a:t>WHS </a:t>
          </a:r>
          <a:r>
            <a:rPr lang="hi-IN" b="1">
              <a:latin typeface="Nirmala UI" panose="020B0502040204020203" pitchFamily="34" charset="0"/>
              <a:ea typeface="Nirmala UI" panose="020B0502040204020203" pitchFamily="34" charset="0"/>
              <a:cs typeface="Nirmala UI" panose="020B0502040204020203" pitchFamily="34" charset="0"/>
            </a:rPr>
            <a:t>के दायित्व</a:t>
          </a:r>
          <a:endParaRPr lang="en-US" b="1">
            <a:latin typeface="Nirmala UI" panose="020B0502040204020203" pitchFamily="34" charset="0"/>
            <a:ea typeface="Nirmala UI" panose="020B0502040204020203" pitchFamily="34" charset="0"/>
            <a:cs typeface="Nirmala UI" panose="020B0502040204020203" pitchFamily="34" charset="0"/>
          </a:endParaRPr>
        </a:p>
      </dgm:t>
    </dgm:pt>
    <dgm:pt modelId="{A51CC7E1-3323-4EBE-876B-7F56C5C4E05F}" type="parTrans" cxnId="{2559AA15-130E-4406-8FAC-0382B155C593}">
      <dgm:prSet/>
      <dgm:spPr/>
      <dgm:t>
        <a:bodyPr/>
        <a:lstStyle/>
        <a:p>
          <a:endParaRPr lang="en-US"/>
        </a:p>
      </dgm:t>
    </dgm:pt>
    <dgm:pt modelId="{C0DBB13A-AF08-46C9-AD4B-E7E8B3F4AC28}" type="sibTrans" cxnId="{2559AA15-130E-4406-8FAC-0382B155C593}">
      <dgm:prSet/>
      <dgm:spPr/>
      <dgm:t>
        <a:bodyPr/>
        <a:lstStyle/>
        <a:p>
          <a:endParaRPr lang="en-US"/>
        </a:p>
      </dgm:t>
    </dgm:pt>
    <dgm:pt modelId="{3606A2E4-2EAF-4CCE-ABB4-61A0312A2307}" type="pres">
      <dgm:prSet presAssocID="{184EBDBB-4C9E-4344-B6BB-4FA0440C6136}" presName="diagram" presStyleCnt="0">
        <dgm:presLayoutVars>
          <dgm:chPref val="1"/>
          <dgm:dir/>
          <dgm:animOne val="branch"/>
          <dgm:animLvl val="lvl"/>
          <dgm:resizeHandles val="exact"/>
        </dgm:presLayoutVars>
      </dgm:prSet>
      <dgm:spPr/>
    </dgm:pt>
    <dgm:pt modelId="{7BA622A8-AEF0-4A51-BF5D-283F7B3B0391}" type="pres">
      <dgm:prSet presAssocID="{02D4C5AE-7CDF-4236-843B-31C8FBB14B9B}" presName="root1" presStyleCnt="0"/>
      <dgm:spPr/>
    </dgm:pt>
    <dgm:pt modelId="{940D711F-4FA8-4690-900D-F460BEE49ECE}" type="pres">
      <dgm:prSet presAssocID="{02D4C5AE-7CDF-4236-843B-31C8FBB14B9B}" presName="LevelOneTextNode" presStyleLbl="node0" presStyleIdx="0" presStyleCnt="1" custScaleY="199867">
        <dgm:presLayoutVars>
          <dgm:chPref val="3"/>
        </dgm:presLayoutVars>
      </dgm:prSet>
      <dgm:spPr/>
    </dgm:pt>
    <dgm:pt modelId="{340FA2B1-B452-4F28-8A08-BCB22FA4415A}" type="pres">
      <dgm:prSet presAssocID="{02D4C5AE-7CDF-4236-843B-31C8FBB14B9B}" presName="level2hierChild" presStyleCnt="0"/>
      <dgm:spPr/>
    </dgm:pt>
    <dgm:pt modelId="{ED1EF01D-9B67-4BBF-8C6A-9914DEADDFDD}" type="pres">
      <dgm:prSet presAssocID="{6D5A4C7A-1E05-4C1D-8796-8CEDB626A78F}" presName="conn2-1" presStyleLbl="parChTrans1D2" presStyleIdx="0" presStyleCnt="1"/>
      <dgm:spPr/>
    </dgm:pt>
    <dgm:pt modelId="{7BE6CFE2-1559-4C07-B649-8BCF90441937}" type="pres">
      <dgm:prSet presAssocID="{6D5A4C7A-1E05-4C1D-8796-8CEDB626A78F}" presName="connTx" presStyleLbl="parChTrans1D2" presStyleIdx="0" presStyleCnt="1"/>
      <dgm:spPr/>
    </dgm:pt>
    <dgm:pt modelId="{CD13E656-8F4C-4280-9D7C-13F92439F674}" type="pres">
      <dgm:prSet presAssocID="{433ECCE0-F9C8-4C24-9F07-CA77DCFD03BF}" presName="root2" presStyleCnt="0"/>
      <dgm:spPr/>
    </dgm:pt>
    <dgm:pt modelId="{E95806AA-07FA-4145-9F5F-E5F1240919BC}" type="pres">
      <dgm:prSet presAssocID="{433ECCE0-F9C8-4C24-9F07-CA77DCFD03BF}" presName="LevelTwoTextNode" presStyleLbl="node2" presStyleIdx="0" presStyleCnt="1" custScaleY="199867">
        <dgm:presLayoutVars>
          <dgm:chPref val="3"/>
        </dgm:presLayoutVars>
      </dgm:prSet>
      <dgm:spPr/>
    </dgm:pt>
    <dgm:pt modelId="{4C5126F0-71E2-496B-841C-7047820D5F93}" type="pres">
      <dgm:prSet presAssocID="{433ECCE0-F9C8-4C24-9F07-CA77DCFD03BF}" presName="level3hierChild" presStyleCnt="0"/>
      <dgm:spPr/>
    </dgm:pt>
    <dgm:pt modelId="{A20474EB-FDB7-4AA2-B2BC-D7E4AF65A521}" type="pres">
      <dgm:prSet presAssocID="{A51CC7E1-3323-4EBE-876B-7F56C5C4E05F}" presName="conn2-1" presStyleLbl="parChTrans1D3" presStyleIdx="0" presStyleCnt="1"/>
      <dgm:spPr/>
    </dgm:pt>
    <dgm:pt modelId="{78DD6FD6-AD51-4244-ACCB-0BA8589AF1A4}" type="pres">
      <dgm:prSet presAssocID="{A51CC7E1-3323-4EBE-876B-7F56C5C4E05F}" presName="connTx" presStyleLbl="parChTrans1D3" presStyleIdx="0" presStyleCnt="1"/>
      <dgm:spPr/>
    </dgm:pt>
    <dgm:pt modelId="{3522B871-F2D3-4834-86B0-90066E3CBECD}" type="pres">
      <dgm:prSet presAssocID="{D26AFC5F-14ED-4A7F-B360-635299D5AED6}" presName="root2" presStyleCnt="0"/>
      <dgm:spPr/>
    </dgm:pt>
    <dgm:pt modelId="{078EF66F-B650-402B-B7D5-860B6F500CB0}" type="pres">
      <dgm:prSet presAssocID="{D26AFC5F-14ED-4A7F-B360-635299D5AED6}" presName="LevelTwoTextNode" presStyleLbl="node3" presStyleIdx="0" presStyleCnt="1" custScaleY="199867">
        <dgm:presLayoutVars>
          <dgm:chPref val="3"/>
        </dgm:presLayoutVars>
      </dgm:prSet>
      <dgm:spPr/>
    </dgm:pt>
    <dgm:pt modelId="{903B6BDC-747C-4CC5-A163-2F179B8ACE47}" type="pres">
      <dgm:prSet presAssocID="{D26AFC5F-14ED-4A7F-B360-635299D5AED6}" presName="level3hierChild" presStyleCnt="0"/>
      <dgm:spPr/>
    </dgm:pt>
  </dgm:ptLst>
  <dgm:cxnLst>
    <dgm:cxn modelId="{0F89EB0B-04BC-42B7-B888-48026B60F2A5}" type="presOf" srcId="{184EBDBB-4C9E-4344-B6BB-4FA0440C6136}" destId="{3606A2E4-2EAF-4CCE-ABB4-61A0312A2307}" srcOrd="0" destOrd="0" presId="urn:microsoft.com/office/officeart/2005/8/layout/hierarchy2#1"/>
    <dgm:cxn modelId="{2559AA15-130E-4406-8FAC-0382B155C593}" srcId="{433ECCE0-F9C8-4C24-9F07-CA77DCFD03BF}" destId="{D26AFC5F-14ED-4A7F-B360-635299D5AED6}" srcOrd="0" destOrd="0" parTransId="{A51CC7E1-3323-4EBE-876B-7F56C5C4E05F}" sibTransId="{C0DBB13A-AF08-46C9-AD4B-E7E8B3F4AC28}"/>
    <dgm:cxn modelId="{B040C63A-00DE-4EF9-BB83-B89D944EDCCF}" type="presOf" srcId="{6D5A4C7A-1E05-4C1D-8796-8CEDB626A78F}" destId="{ED1EF01D-9B67-4BBF-8C6A-9914DEADDFDD}" srcOrd="0" destOrd="0" presId="urn:microsoft.com/office/officeart/2005/8/layout/hierarchy2#1"/>
    <dgm:cxn modelId="{511DBC3C-2DEA-4CAB-A04C-ABBE22F47356}" type="presOf" srcId="{433ECCE0-F9C8-4C24-9F07-CA77DCFD03BF}" destId="{E95806AA-07FA-4145-9F5F-E5F1240919BC}" srcOrd="0" destOrd="0" presId="urn:microsoft.com/office/officeart/2005/8/layout/hierarchy2#1"/>
    <dgm:cxn modelId="{3C556844-7AC8-4BF3-82D1-7A3F0103C3C7}" srcId="{02D4C5AE-7CDF-4236-843B-31C8FBB14B9B}" destId="{433ECCE0-F9C8-4C24-9F07-CA77DCFD03BF}" srcOrd="0" destOrd="0" parTransId="{6D5A4C7A-1E05-4C1D-8796-8CEDB626A78F}" sibTransId="{2CBCF42C-28F1-4E2E-A836-897FCC4DFC66}"/>
    <dgm:cxn modelId="{89FAA873-BFF2-478D-949B-827E2EAE14E2}" type="presOf" srcId="{02D4C5AE-7CDF-4236-843B-31C8FBB14B9B}" destId="{940D711F-4FA8-4690-900D-F460BEE49ECE}" srcOrd="0" destOrd="0" presId="urn:microsoft.com/office/officeart/2005/8/layout/hierarchy2#1"/>
    <dgm:cxn modelId="{2706A6A9-0814-4623-9384-B2F6546214AD}" type="presOf" srcId="{D26AFC5F-14ED-4A7F-B360-635299D5AED6}" destId="{078EF66F-B650-402B-B7D5-860B6F500CB0}" srcOrd="0" destOrd="0" presId="urn:microsoft.com/office/officeart/2005/8/layout/hierarchy2#1"/>
    <dgm:cxn modelId="{713D1BAE-3C38-46D5-8B38-6FE70670FF67}" srcId="{184EBDBB-4C9E-4344-B6BB-4FA0440C6136}" destId="{02D4C5AE-7CDF-4236-843B-31C8FBB14B9B}" srcOrd="0" destOrd="0" parTransId="{671A9978-292A-4A8C-B4B9-C45B029E2C73}" sibTransId="{CC9ED4BA-A6FC-4BDD-98D8-A1E6C3152AC2}"/>
    <dgm:cxn modelId="{207DD3B4-6808-43B2-9F63-C02085F49C53}" type="presOf" srcId="{6D5A4C7A-1E05-4C1D-8796-8CEDB626A78F}" destId="{7BE6CFE2-1559-4C07-B649-8BCF90441937}" srcOrd="1" destOrd="0" presId="urn:microsoft.com/office/officeart/2005/8/layout/hierarchy2#1"/>
    <dgm:cxn modelId="{97CAD9B7-D04A-4DC7-9F0F-1C69EF6FB366}" type="presOf" srcId="{A51CC7E1-3323-4EBE-876B-7F56C5C4E05F}" destId="{A20474EB-FDB7-4AA2-B2BC-D7E4AF65A521}" srcOrd="0" destOrd="0" presId="urn:microsoft.com/office/officeart/2005/8/layout/hierarchy2#1"/>
    <dgm:cxn modelId="{A39D58E7-76FE-42AD-A114-9AA6EEF227C9}" type="presOf" srcId="{A51CC7E1-3323-4EBE-876B-7F56C5C4E05F}" destId="{78DD6FD6-AD51-4244-ACCB-0BA8589AF1A4}" srcOrd="1" destOrd="0" presId="urn:microsoft.com/office/officeart/2005/8/layout/hierarchy2#1"/>
    <dgm:cxn modelId="{550D5952-D24F-4B7A-AFE2-92638BD6D4A6}" type="presParOf" srcId="{3606A2E4-2EAF-4CCE-ABB4-61A0312A2307}" destId="{7BA622A8-AEF0-4A51-BF5D-283F7B3B0391}" srcOrd="0" destOrd="0" presId="urn:microsoft.com/office/officeart/2005/8/layout/hierarchy2#1"/>
    <dgm:cxn modelId="{5099ADFE-A1BF-458C-B2F3-15076892DD88}" type="presParOf" srcId="{7BA622A8-AEF0-4A51-BF5D-283F7B3B0391}" destId="{940D711F-4FA8-4690-900D-F460BEE49ECE}" srcOrd="0" destOrd="0" presId="urn:microsoft.com/office/officeart/2005/8/layout/hierarchy2#1"/>
    <dgm:cxn modelId="{CB9DB43A-BAA0-4651-A496-046C63BCBD9C}" type="presParOf" srcId="{7BA622A8-AEF0-4A51-BF5D-283F7B3B0391}" destId="{340FA2B1-B452-4F28-8A08-BCB22FA4415A}" srcOrd="1" destOrd="0" presId="urn:microsoft.com/office/officeart/2005/8/layout/hierarchy2#1"/>
    <dgm:cxn modelId="{3364E597-BC15-45C5-A1A6-10C2C65D7472}" type="presParOf" srcId="{340FA2B1-B452-4F28-8A08-BCB22FA4415A}" destId="{ED1EF01D-9B67-4BBF-8C6A-9914DEADDFDD}" srcOrd="0" destOrd="0" presId="urn:microsoft.com/office/officeart/2005/8/layout/hierarchy2#1"/>
    <dgm:cxn modelId="{87636600-003E-4A30-BC34-F7259A0D22C3}" type="presParOf" srcId="{ED1EF01D-9B67-4BBF-8C6A-9914DEADDFDD}" destId="{7BE6CFE2-1559-4C07-B649-8BCF90441937}" srcOrd="0" destOrd="0" presId="urn:microsoft.com/office/officeart/2005/8/layout/hierarchy2#1"/>
    <dgm:cxn modelId="{B4480A46-3799-4F48-9E60-FFF748820CBF}" type="presParOf" srcId="{340FA2B1-B452-4F28-8A08-BCB22FA4415A}" destId="{CD13E656-8F4C-4280-9D7C-13F92439F674}" srcOrd="1" destOrd="0" presId="urn:microsoft.com/office/officeart/2005/8/layout/hierarchy2#1"/>
    <dgm:cxn modelId="{8557E458-FB13-457F-9FB3-99A02306EB5E}" type="presParOf" srcId="{CD13E656-8F4C-4280-9D7C-13F92439F674}" destId="{E95806AA-07FA-4145-9F5F-E5F1240919BC}" srcOrd="0" destOrd="0" presId="urn:microsoft.com/office/officeart/2005/8/layout/hierarchy2#1"/>
    <dgm:cxn modelId="{4C587EE0-A2AD-430D-8ECE-969D2032FF32}" type="presParOf" srcId="{CD13E656-8F4C-4280-9D7C-13F92439F674}" destId="{4C5126F0-71E2-496B-841C-7047820D5F93}" srcOrd="1" destOrd="0" presId="urn:microsoft.com/office/officeart/2005/8/layout/hierarchy2#1"/>
    <dgm:cxn modelId="{473BCE46-7556-4422-8660-DDC44FDDB1DF}" type="presParOf" srcId="{4C5126F0-71E2-496B-841C-7047820D5F93}" destId="{A20474EB-FDB7-4AA2-B2BC-D7E4AF65A521}" srcOrd="0" destOrd="0" presId="urn:microsoft.com/office/officeart/2005/8/layout/hierarchy2#1"/>
    <dgm:cxn modelId="{51424641-E0EF-4C17-A2AF-B7F7F47584E3}" type="presParOf" srcId="{A20474EB-FDB7-4AA2-B2BC-D7E4AF65A521}" destId="{78DD6FD6-AD51-4244-ACCB-0BA8589AF1A4}" srcOrd="0" destOrd="0" presId="urn:microsoft.com/office/officeart/2005/8/layout/hierarchy2#1"/>
    <dgm:cxn modelId="{9B099C01-741C-435B-9348-8E4E190D6151}" type="presParOf" srcId="{4C5126F0-71E2-496B-841C-7047820D5F93}" destId="{3522B871-F2D3-4834-86B0-90066E3CBECD}" srcOrd="1" destOrd="0" presId="urn:microsoft.com/office/officeart/2005/8/layout/hierarchy2#1"/>
    <dgm:cxn modelId="{C9BDF1FC-6467-4D2E-94BB-8933123B41F1}" type="presParOf" srcId="{3522B871-F2D3-4834-86B0-90066E3CBECD}" destId="{078EF66F-B650-402B-B7D5-860B6F500CB0}" srcOrd="0" destOrd="0" presId="urn:microsoft.com/office/officeart/2005/8/layout/hierarchy2#1"/>
    <dgm:cxn modelId="{CCC282E8-FD3C-42A7-8C68-27C37853FE8D}" type="presParOf" srcId="{3522B871-F2D3-4834-86B0-90066E3CBECD}" destId="{903B6BDC-747C-4CC5-A163-2F179B8ACE47}" srcOrd="1" destOrd="0" presId="urn:microsoft.com/office/officeart/2005/8/layout/hierarchy2#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0D711F-4FA8-4690-900D-F460BEE49ECE}">
      <dsp:nvSpPr>
        <dsp:cNvPr id="0" name=""/>
        <dsp:cNvSpPr/>
      </dsp:nvSpPr>
      <dsp:spPr>
        <a:xfrm>
          <a:off x="4560" y="286230"/>
          <a:ext cx="1455426" cy="14544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i-IN" sz="1200" b="1" kern="1200">
              <a:latin typeface="Nirmala UI" panose="020B0502040204020203" pitchFamily="34" charset="0"/>
              <a:ea typeface="Nirmala UI" panose="020B0502040204020203" pitchFamily="34" charset="0"/>
              <a:cs typeface="Nirmala UI" panose="020B0502040204020203" pitchFamily="34" charset="0"/>
            </a:rPr>
            <a:t>आपदा जोखिम न्यूनीकरण के लिए सेंडाई (</a:t>
          </a:r>
          <a:r>
            <a:rPr lang="en-PH" sz="1200" b="1" kern="1200">
              <a:latin typeface="Nirmala UI" panose="020B0502040204020203" pitchFamily="34" charset="0"/>
              <a:ea typeface="Nirmala UI" panose="020B0502040204020203" pitchFamily="34" charset="0"/>
              <a:cs typeface="Nirmala UI" panose="020B0502040204020203" pitchFamily="34" charset="0"/>
            </a:rPr>
            <a:t>Sendai) </a:t>
          </a:r>
          <a:r>
            <a:rPr lang="hi-IN" sz="1200" b="1" kern="1200">
              <a:latin typeface="Nirmala UI" panose="020B0502040204020203" pitchFamily="34" charset="0"/>
              <a:ea typeface="Nirmala UI" panose="020B0502040204020203" pitchFamily="34" charset="0"/>
              <a:cs typeface="Nirmala UI" panose="020B0502040204020203" pitchFamily="34" charset="0"/>
            </a:rPr>
            <a:t>फ्रेमवर्क</a:t>
          </a:r>
          <a:r>
            <a:rPr lang="en-US" sz="1200" b="1" kern="1200">
              <a:latin typeface="Nirmala UI" panose="020B0502040204020203" pitchFamily="34" charset="0"/>
              <a:ea typeface="Nirmala UI" panose="020B0502040204020203" pitchFamily="34" charset="0"/>
              <a:cs typeface="Nirmala UI" panose="020B0502040204020203" pitchFamily="34" charset="0"/>
            </a:rPr>
            <a:t> </a:t>
          </a:r>
        </a:p>
        <a:p>
          <a:pPr marL="0" lvl="0" indent="0" algn="ctr" defTabSz="533400">
            <a:lnSpc>
              <a:spcPct val="90000"/>
            </a:lnSpc>
            <a:spcBef>
              <a:spcPct val="0"/>
            </a:spcBef>
            <a:spcAft>
              <a:spcPct val="35000"/>
            </a:spcAft>
            <a:buNone/>
          </a:pPr>
          <a:r>
            <a:rPr lang="en-US" sz="1200" b="1" kern="1200">
              <a:latin typeface="Nirmala UI" panose="020B0502040204020203" pitchFamily="34" charset="0"/>
              <a:ea typeface="Nirmala UI" panose="020B0502040204020203" pitchFamily="34" charset="0"/>
              <a:cs typeface="Nirmala UI" panose="020B0502040204020203" pitchFamily="34" charset="0"/>
            </a:rPr>
            <a:t>2015-2030 </a:t>
          </a:r>
        </a:p>
      </dsp:txBody>
      <dsp:txXfrm>
        <a:off x="47160" y="328830"/>
        <a:ext cx="1370226" cy="1369258"/>
      </dsp:txXfrm>
    </dsp:sp>
    <dsp:sp modelId="{ED1EF01D-9B67-4BBF-8C6A-9914DEADDFDD}">
      <dsp:nvSpPr>
        <dsp:cNvPr id="0" name=""/>
        <dsp:cNvSpPr/>
      </dsp:nvSpPr>
      <dsp:spPr>
        <a:xfrm>
          <a:off x="1459986" y="981147"/>
          <a:ext cx="582170" cy="64624"/>
        </a:xfrm>
        <a:custGeom>
          <a:avLst/>
          <a:gdLst/>
          <a:ahLst/>
          <a:cxnLst/>
          <a:rect l="0" t="0" r="0" b="0"/>
          <a:pathLst>
            <a:path>
              <a:moveTo>
                <a:pt x="0" y="32312"/>
              </a:moveTo>
              <a:lnTo>
                <a:pt x="582170" y="323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36517" y="998905"/>
        <a:ext cx="29108" cy="29108"/>
      </dsp:txXfrm>
    </dsp:sp>
    <dsp:sp modelId="{E95806AA-07FA-4145-9F5F-E5F1240919BC}">
      <dsp:nvSpPr>
        <dsp:cNvPr id="0" name=""/>
        <dsp:cNvSpPr/>
      </dsp:nvSpPr>
      <dsp:spPr>
        <a:xfrm>
          <a:off x="2042156" y="286230"/>
          <a:ext cx="1455426" cy="14544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i-IN" sz="1200" b="1" kern="1200">
              <a:latin typeface="Nirmala UI" panose="020B0502040204020203" pitchFamily="34" charset="0"/>
              <a:ea typeface="Nirmala UI" panose="020B0502040204020203" pitchFamily="34" charset="0"/>
              <a:cs typeface="Nirmala UI" panose="020B0502040204020203" pitchFamily="34" charset="0"/>
            </a:rPr>
            <a:t>राष्ट्रीय आपदा जोखिम न्यूनीकरण फ्रेमवर्क</a:t>
          </a:r>
          <a:endParaRPr lang="en-US" sz="1200" b="1" kern="1200">
            <a:latin typeface="Nirmala UI" panose="020B0502040204020203" pitchFamily="34" charset="0"/>
            <a:ea typeface="Nirmala UI" panose="020B0502040204020203" pitchFamily="34" charset="0"/>
            <a:cs typeface="Nirmala UI" panose="020B0502040204020203" pitchFamily="34" charset="0"/>
          </a:endParaRPr>
        </a:p>
      </dsp:txBody>
      <dsp:txXfrm>
        <a:off x="2084756" y="328830"/>
        <a:ext cx="1370226" cy="1369258"/>
      </dsp:txXfrm>
    </dsp:sp>
    <dsp:sp modelId="{A20474EB-FDB7-4AA2-B2BC-D7E4AF65A521}">
      <dsp:nvSpPr>
        <dsp:cNvPr id="0" name=""/>
        <dsp:cNvSpPr/>
      </dsp:nvSpPr>
      <dsp:spPr>
        <a:xfrm>
          <a:off x="3497583" y="981147"/>
          <a:ext cx="582170" cy="64624"/>
        </a:xfrm>
        <a:custGeom>
          <a:avLst/>
          <a:gdLst/>
          <a:ahLst/>
          <a:cxnLst/>
          <a:rect l="0" t="0" r="0" b="0"/>
          <a:pathLst>
            <a:path>
              <a:moveTo>
                <a:pt x="0" y="32312"/>
              </a:moveTo>
              <a:lnTo>
                <a:pt x="582170" y="323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74113" y="998905"/>
        <a:ext cx="29108" cy="29108"/>
      </dsp:txXfrm>
    </dsp:sp>
    <dsp:sp modelId="{078EF66F-B650-402B-B7D5-860B6F500CB0}">
      <dsp:nvSpPr>
        <dsp:cNvPr id="0" name=""/>
        <dsp:cNvSpPr/>
      </dsp:nvSpPr>
      <dsp:spPr>
        <a:xfrm>
          <a:off x="4079753" y="286230"/>
          <a:ext cx="1455426" cy="14544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i-IN" sz="1200" b="1" kern="1200">
              <a:latin typeface="Nirmala UI" panose="020B0502040204020203" pitchFamily="34" charset="0"/>
              <a:ea typeface="Nirmala UI" panose="020B0502040204020203" pitchFamily="34" charset="0"/>
              <a:cs typeface="Nirmala UI" panose="020B0502040204020203" pitchFamily="34" charset="0"/>
            </a:rPr>
            <a:t>आपातकालीन और आपदा प्रबंधन के लिए </a:t>
          </a:r>
          <a:r>
            <a:rPr lang="en-PH" sz="1200" b="1" kern="1200">
              <a:latin typeface="Nirmala UI" panose="020B0502040204020203" pitchFamily="34" charset="0"/>
              <a:ea typeface="Nirmala UI" panose="020B0502040204020203" pitchFamily="34" charset="0"/>
              <a:cs typeface="Nirmala UI" panose="020B0502040204020203" pitchFamily="34" charset="0"/>
            </a:rPr>
            <a:t>NDIS </a:t>
          </a:r>
          <a:r>
            <a:rPr lang="hi-IN" sz="1200" b="1" kern="1200">
              <a:latin typeface="Nirmala UI" panose="020B0502040204020203" pitchFamily="34" charset="0"/>
              <a:ea typeface="Nirmala UI" panose="020B0502040204020203" pitchFamily="34" charset="0"/>
              <a:cs typeface="Nirmala UI" panose="020B0502040204020203" pitchFamily="34" charset="0"/>
            </a:rPr>
            <a:t>अभ्यास मानक</a:t>
          </a:r>
          <a:endParaRPr lang="en-PH" sz="1200" b="1" kern="1200">
            <a:latin typeface="Nirmala UI" panose="020B0502040204020203" pitchFamily="34" charset="0"/>
            <a:ea typeface="Nirmala UI" panose="020B0502040204020203" pitchFamily="34" charset="0"/>
            <a:cs typeface="Nirmala UI" panose="020B0502040204020203" pitchFamily="34" charset="0"/>
          </a:endParaRPr>
        </a:p>
        <a:p>
          <a:pPr marL="0" lvl="0" indent="0" algn="ctr" defTabSz="533400">
            <a:lnSpc>
              <a:spcPct val="90000"/>
            </a:lnSpc>
            <a:spcBef>
              <a:spcPct val="0"/>
            </a:spcBef>
            <a:spcAft>
              <a:spcPct val="35000"/>
            </a:spcAft>
            <a:buNone/>
          </a:pPr>
          <a:endParaRPr lang="en-PH" sz="1200" b="1" kern="1200">
            <a:latin typeface="Nirmala UI" panose="020B0502040204020203" pitchFamily="34" charset="0"/>
            <a:ea typeface="Nirmala UI" panose="020B0502040204020203" pitchFamily="34" charset="0"/>
            <a:cs typeface="Nirmala UI" panose="020B0502040204020203" pitchFamily="34" charset="0"/>
          </a:endParaRPr>
        </a:p>
        <a:p>
          <a:pPr marL="0" lvl="0" indent="0" algn="ctr" defTabSz="533400">
            <a:lnSpc>
              <a:spcPct val="90000"/>
            </a:lnSpc>
            <a:spcBef>
              <a:spcPct val="0"/>
            </a:spcBef>
            <a:spcAft>
              <a:spcPct val="35000"/>
            </a:spcAft>
            <a:buNone/>
          </a:pPr>
          <a:r>
            <a:rPr lang="en-PH" sz="1200" b="1" kern="1200">
              <a:latin typeface="Nirmala UI" panose="020B0502040204020203" pitchFamily="34" charset="0"/>
              <a:ea typeface="Nirmala UI" panose="020B0502040204020203" pitchFamily="34" charset="0"/>
              <a:cs typeface="Nirmala UI" panose="020B0502040204020203" pitchFamily="34" charset="0"/>
            </a:rPr>
            <a:t>WHS </a:t>
          </a:r>
          <a:r>
            <a:rPr lang="hi-IN" sz="1200" b="1" kern="1200">
              <a:latin typeface="Nirmala UI" panose="020B0502040204020203" pitchFamily="34" charset="0"/>
              <a:ea typeface="Nirmala UI" panose="020B0502040204020203" pitchFamily="34" charset="0"/>
              <a:cs typeface="Nirmala UI" panose="020B0502040204020203" pitchFamily="34" charset="0"/>
            </a:rPr>
            <a:t>के दायित्व</a:t>
          </a:r>
          <a:endParaRPr lang="en-US" sz="1200" b="1" kern="1200">
            <a:latin typeface="Nirmala UI" panose="020B0502040204020203" pitchFamily="34" charset="0"/>
            <a:ea typeface="Nirmala UI" panose="020B0502040204020203" pitchFamily="34" charset="0"/>
            <a:cs typeface="Nirmala UI" panose="020B0502040204020203" pitchFamily="34" charset="0"/>
          </a:endParaRPr>
        </a:p>
      </dsp:txBody>
      <dsp:txXfrm>
        <a:off x="4122353" y="328830"/>
        <a:ext cx="1370226" cy="136925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1">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chAlign" val="l"/>
          <dgm:param type="linDir" val="fromT"/>
        </dgm:alg>
      </dgm:if>
      <dgm:else name="Name2">
        <dgm:alg type="hierChild">
          <dgm:param type="chAlign" val="r"/>
          <dgm:param type="linDir" val="fromT"/>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chAlign" val="l"/>
                  <dgm:param type="linDir" val="fromT"/>
                </dgm:alg>
              </dgm:if>
              <dgm:else name="Name10">
                <dgm:alg type="hierChild">
                  <dgm:param type="chAlign" val="r"/>
                  <dgm:param type="linDir" val="fromT"/>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begPts" val="midR"/>
                        <dgm:param type="dim" val="1D"/>
                        <dgm:param type="endPts" val="midL"/>
                        <dgm:param type="endSty" val="noArr"/>
                      </dgm:alg>
                    </dgm:if>
                    <dgm:else name="Name14">
                      <dgm:alg type="conn">
                        <dgm:param type="begPts" val="midL"/>
                        <dgm:param type="dim" val="1D"/>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chAlign" val="l"/>
                          <dgm:param type="linDir" val="fromT"/>
                        </dgm:alg>
                      </dgm:if>
                      <dgm:else name="Name21">
                        <dgm:alg type="hierChild">
                          <dgm:param type="chAlign" val="r"/>
                          <dgm:param type="linDir" val="fromT"/>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736</Words>
  <Characters>4200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Oanh Hoang</cp:lastModifiedBy>
  <cp:revision>10</cp:revision>
  <dcterms:created xsi:type="dcterms:W3CDTF">2024-06-03T13:31:00Z</dcterms:created>
  <dcterms:modified xsi:type="dcterms:W3CDTF">2024-06-06T08:32:00Z</dcterms:modified>
</cp:coreProperties>
</file>