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7BE4A" w14:textId="15E1FDFB" w:rsidR="00974FCC" w:rsidRPr="00DA035A" w:rsidRDefault="006E6A09" w:rsidP="00FE433C">
      <w:pPr>
        <w:pStyle w:val="Heading1"/>
        <w:spacing w:after="200"/>
        <w:rPr>
          <w:rFonts w:asciiTheme="minorBidi" w:hAnsiTheme="minorBidi"/>
          <w:lang w:val="en-AU"/>
        </w:rPr>
      </w:pPr>
      <w:r w:rsidRPr="0004469C">
        <w:rPr>
          <w:rFonts w:asciiTheme="minorBidi" w:hAnsiTheme="minorBidi" w:cstheme="minorBidi"/>
          <w:color w:val="000000" w:themeColor="text1"/>
          <w:lang w:val="vi"/>
        </w:rPr>
        <w:t>Hòa nhập Người khuyết tật trong Giảm thiểu Rủi ro Thiên tai (Disability Inclusive Disaster Risk Reduction) và Tiêu chuẩn Thực hành NDIS (NDIS Practice Standard)</w:t>
      </w:r>
    </w:p>
    <w:p w14:paraId="75EBF944" w14:textId="77777777" w:rsidR="006419C5" w:rsidRPr="00DA035A" w:rsidRDefault="006E6A09" w:rsidP="0091047D">
      <w:pPr>
        <w:spacing w:after="120" w:line="240" w:lineRule="auto"/>
        <w:rPr>
          <w:rFonts w:asciiTheme="minorBidi" w:hAnsiTheme="minorBidi"/>
          <w:b/>
          <w:bCs/>
        </w:rPr>
      </w:pPr>
      <w:r w:rsidRPr="00DA035A">
        <w:rPr>
          <w:rFonts w:asciiTheme="minorBidi" w:hAnsiTheme="minorBidi"/>
          <w:b/>
          <w:bCs/>
          <w:lang w:val="vi"/>
        </w:rPr>
        <w:t>Hòa nhập Người khuyết tật trong Giảm thiểu Rủi ro Thiên tai (DIDRR) đề cập đến quá trình giảm thiểu rủi ro thiên tai cho người khuyết tật, đảm bảo sự an toàn, khả năng phục hồi và sự tham gia có ý nghĩa của họ trong tất cả các giai đoạn quản lý thảm họa.</w:t>
      </w:r>
    </w:p>
    <w:p w14:paraId="78C6A47B" w14:textId="77777777" w:rsidR="00DB2622" w:rsidRPr="00DA035A" w:rsidRDefault="006E6A09" w:rsidP="0091047D">
      <w:pPr>
        <w:spacing w:after="120" w:line="240" w:lineRule="auto"/>
        <w:rPr>
          <w:rFonts w:asciiTheme="minorBidi" w:hAnsiTheme="minorBidi"/>
          <w:lang w:val="vi"/>
        </w:rPr>
      </w:pPr>
      <w:r w:rsidRPr="00DA035A">
        <w:rPr>
          <w:rFonts w:asciiTheme="minorBidi" w:hAnsiTheme="minorBidi"/>
          <w:lang w:val="vi"/>
        </w:rPr>
        <w:t>DIDRR nhận thấy rằng người khuyết tật bị ảnh hưởng nhiều hơn bởi thiên tai và tình huống khẩn cấp. Bằng cách áp dụng các phương pháp tiếp cận một cách toàn diện, DIDRR nhằm mục đích giảm thiểu tình trạng dễ bị tổn thương, tăng cường khả năng phục hồi và thúc đẩy quyền cũng như phúc lợi của người khuyết tật.</w:t>
      </w:r>
    </w:p>
    <w:p w14:paraId="77A0E968" w14:textId="77777777" w:rsidR="00450CC3" w:rsidRPr="00DA035A" w:rsidRDefault="006E6A09" w:rsidP="0091047D">
      <w:pPr>
        <w:pStyle w:val="Heading2"/>
        <w:rPr>
          <w:rFonts w:asciiTheme="minorBidi" w:hAnsiTheme="minorBidi" w:cstheme="minorBidi"/>
          <w:lang w:val="vi"/>
        </w:rPr>
      </w:pPr>
      <w:r w:rsidRPr="00DA035A">
        <w:rPr>
          <w:rFonts w:asciiTheme="minorBidi" w:hAnsiTheme="minorBidi" w:cstheme="minorBidi"/>
          <w:lang w:val="vi"/>
        </w:rPr>
        <w:t>Nghĩa vụ của Nhà cung cấp NDIS</w:t>
      </w:r>
    </w:p>
    <w:p w14:paraId="4116DB25" w14:textId="16D1CB44" w:rsidR="00834DD5" w:rsidRPr="00834DD5" w:rsidRDefault="006E6A09" w:rsidP="00834DD5">
      <w:pPr>
        <w:spacing w:after="200" w:line="240" w:lineRule="auto"/>
        <w:rPr>
          <w:rFonts w:asciiTheme="minorBidi" w:hAnsiTheme="minorBidi"/>
        </w:rPr>
      </w:pPr>
      <w:r w:rsidRPr="00DA035A">
        <w:rPr>
          <w:rFonts w:asciiTheme="minorBidi" w:hAnsiTheme="minorBidi"/>
          <w:lang w:val="vi"/>
        </w:rPr>
        <w:t>Nghĩa vụ của Úc trong việc quản lý rủi ro do các trường hợp khẩn cấp và thảm họa gây ra đối với người khuyết tật được quy định trong một loạt các cơ chế của địa phương và quốc tế. Nhà cung cấp NDIS có nghĩa vụ đảm bảo các hoạt động của họ phản ánh các nguyên tắc được nêu trong các tài liệu này, cũng như đáp ứng Tiêu chuẩn Thực hành NDIS (NDIS Practice Standard)về Quản lý Thảm họa và Trường hợp Khẩn cấp (Emergency and Disaster Management).</w:t>
      </w:r>
    </w:p>
    <w:p w14:paraId="32E79CC9" w14:textId="5696E8AE" w:rsidR="00834DD5" w:rsidRDefault="00834DD5" w:rsidP="009D7C42">
      <w:pPr>
        <w:spacing w:after="0" w:line="240" w:lineRule="auto"/>
        <w:rPr>
          <w:rFonts w:asciiTheme="minorBidi" w:hAnsiTheme="minorBidi"/>
        </w:rPr>
      </w:pPr>
      <w:r w:rsidRPr="00DA035A">
        <w:rPr>
          <w:rFonts w:asciiTheme="minorBidi" w:hAnsiTheme="minorBidi"/>
          <w:noProof/>
        </w:rPr>
        <mc:AlternateContent>
          <mc:Choice Requires="wps">
            <w:drawing>
              <wp:inline distT="0" distB="0" distL="0" distR="0" wp14:anchorId="766937BF" wp14:editId="2C163421">
                <wp:extent cx="5577840" cy="815340"/>
                <wp:effectExtent l="0" t="0" r="22860" b="22860"/>
                <wp:docPr id="1155908873" name="Rectangle: Rounded Corners 3" descr="Công ước Liên hợp quốc về Quyền của Người Khuyết tật "/>
                <wp:cNvGraphicFramePr/>
                <a:graphic xmlns:a="http://schemas.openxmlformats.org/drawingml/2006/main">
                  <a:graphicData uri="http://schemas.microsoft.com/office/word/2010/wordprocessingShape">
                    <wps:wsp>
                      <wps:cNvSpPr/>
                      <wps:spPr>
                        <a:xfrm>
                          <a:off x="0" y="0"/>
                          <a:ext cx="5577840" cy="815340"/>
                        </a:xfrm>
                        <a:prstGeom prst="roundRect">
                          <a:avLst/>
                        </a:prstGeom>
                        <a:solidFill>
                          <a:srgbClr val="156082"/>
                        </a:solidFill>
                        <a:ln w="12700" cap="flat" cmpd="sng" algn="ctr">
                          <a:solidFill>
                            <a:srgbClr val="156082">
                              <a:shade val="15000"/>
                            </a:srgbClr>
                          </a:solidFill>
                          <a:prstDash val="solid"/>
                          <a:miter lim="800000"/>
                        </a:ln>
                        <a:effectLst/>
                      </wps:spPr>
                      <wps:txbx>
                        <w:txbxContent>
                          <w:p w14:paraId="54A8461F" w14:textId="4733C4FA" w:rsidR="00834DD5" w:rsidRPr="00DA035A" w:rsidRDefault="00834DD5" w:rsidP="006C2885">
                            <w:pPr>
                              <w:spacing w:after="0" w:line="240" w:lineRule="auto"/>
                              <w:jc w:val="center"/>
                              <w:rPr>
                                <w:rFonts w:asciiTheme="minorBidi" w:hAnsiTheme="minorBidi"/>
                              </w:rPr>
                            </w:pPr>
                            <w:r w:rsidRPr="00834DD5">
                              <w:rPr>
                                <w:rFonts w:asciiTheme="minorBidi" w:hAnsiTheme="minorBidi"/>
                                <w:b/>
                                <w:bCs/>
                                <w:color w:val="FFFFFF" w:themeColor="background1"/>
                                <w:sz w:val="28"/>
                                <w:szCs w:val="28"/>
                                <w:lang w:val="vi"/>
                              </w:rPr>
                              <w:t>Công ước Liên hợp quốc về Quyền của Người Khuyết tật (United Nations Convention on the Rights of People with Disability)</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inline>
            </w:drawing>
          </mc:Choice>
          <mc:Fallback>
            <w:pict>
              <v:roundrect w14:anchorId="766937BF" id="Rectangle: Rounded Corners 3" o:spid="_x0000_s1026" alt="Công ước Liên hợp quốc về Quyền của Người Khuyết tật " style="width:439.2pt;height:64.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" fillcolor="#156082" strokecolor="#042433" strokeweight="1pt">
                <v:stroke joinstyle="miter"/>
                <v:textbox>
                  <w:txbxContent>
                    <w:p w14:paraId="54A8461F" w14:textId="4733C4FA" w:rsidR="00834DD5" w:rsidRPr="00DA035A" w:rsidRDefault="00834DD5" w:rsidP="006C2885">
                      <w:pPr>
                        <w:spacing w:after="0" w:line="240" w:lineRule="auto"/>
                        <w:jc w:val="center"/>
                        <w:rPr>
                          <w:rFonts w:asciiTheme="minorBidi" w:hAnsiTheme="minorBidi"/>
                        </w:rPr>
                      </w:pPr>
                      <w:r w:rsidRPr="00834DD5">
                        <w:rPr>
                          <w:rFonts w:asciiTheme="minorBidi" w:hAnsiTheme="minorBidi"/>
                          <w:b/>
                          <w:bCs/>
                          <w:color w:val="FFFFFF" w:themeColor="background1"/>
                          <w:sz w:val="28"/>
                          <w:szCs w:val="28"/>
                          <w:lang w:val="vi"/>
                        </w:rPr>
                        <w:t>Công ước Liên hợp quốc về Quyền của Người Khuyết tật (United Nations Convention on the Rights of People with Disability)</w:t>
                      </w:r>
                    </w:p>
                  </w:txbxContent>
                </v:textbox>
                <w10:anchorlock/>
              </v:roundrect>
            </w:pict>
          </mc:Fallback>
        </mc:AlternateContent>
      </w:r>
    </w:p>
    <w:p w14:paraId="58D3A95B" w14:textId="39035812" w:rsidR="00834DD5" w:rsidRDefault="00834DD5" w:rsidP="00834DD5">
      <w:pPr>
        <w:spacing w:after="0" w:line="240" w:lineRule="auto"/>
        <w:rPr>
          <w:rFonts w:asciiTheme="minorBidi" w:hAnsiTheme="minorBidi"/>
        </w:rPr>
      </w:pPr>
      <w:r w:rsidRPr="00DA035A">
        <w:rPr>
          <w:rFonts w:asciiTheme="minorBidi" w:hAnsiTheme="minorBidi"/>
          <w:noProof/>
        </w:rPr>
        <w:drawing>
          <wp:inline distT="0" distB="0" distL="0" distR="0" wp14:anchorId="669B55F2" wp14:editId="520CA124">
            <wp:extent cx="5558790" cy="2308860"/>
            <wp:effectExtent l="0" t="0" r="22860" b="0"/>
            <wp:docPr id="623916845" name="Diagram 1" descr="Công ước Liên hợp quốc về Quyền của Người Khuyết tậ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00133637" w:rsidRPr="00DA035A">
        <w:rPr>
          <w:rFonts w:asciiTheme="minorBidi" w:hAnsiTheme="minorBidi"/>
          <w:noProof/>
        </w:rPr>
        <mc:AlternateContent>
          <mc:Choice Requires="wps">
            <w:drawing>
              <wp:inline distT="0" distB="0" distL="0" distR="0" wp14:anchorId="532ED464" wp14:editId="61E8D193">
                <wp:extent cx="5539740" cy="607060"/>
                <wp:effectExtent l="0" t="0" r="22860" b="21590"/>
                <wp:docPr id="462198693" name="Rectangle: Rounded Corners 3" descr="&#10;"/>
                <wp:cNvGraphicFramePr/>
                <a:graphic xmlns:a="http://schemas.openxmlformats.org/drawingml/2006/main">
                  <a:graphicData uri="http://schemas.microsoft.com/office/word/2010/wordprocessingShape">
                    <wps:wsp>
                      <wps:cNvSpPr/>
                      <wps:spPr>
                        <a:xfrm>
                          <a:off x="0" y="0"/>
                          <a:ext cx="5539740" cy="60706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70F7DE3" w14:textId="28188782" w:rsidR="002C54BB" w:rsidRPr="00DA035A" w:rsidRDefault="006E6A09" w:rsidP="002C54BB">
                            <w:pPr>
                              <w:jc w:val="center"/>
                              <w:rPr>
                                <w:rFonts w:asciiTheme="minorBidi" w:hAnsiTheme="minorBidi"/>
                              </w:rPr>
                            </w:pPr>
                            <w:r w:rsidRPr="00DA035A">
                              <w:rPr>
                                <w:rFonts w:asciiTheme="minorBidi" w:hAnsiTheme="minorBidi"/>
                                <w:b/>
                                <w:bCs/>
                                <w:sz w:val="28"/>
                                <w:szCs w:val="28"/>
                                <w:lang w:val="vi"/>
                              </w:rPr>
                              <w:t xml:space="preserve">Hòa nhập Người khuyết tật trong Giảm thiểu Rủi ro </w:t>
                            </w:r>
                            <w:r w:rsidR="00DA035A">
                              <w:rPr>
                                <w:rFonts w:asciiTheme="minorBidi" w:hAnsiTheme="minorBidi"/>
                                <w:b/>
                                <w:bCs/>
                                <w:sz w:val="28"/>
                                <w:szCs w:val="28"/>
                                <w:lang w:val="vi"/>
                              </w:rPr>
                              <w:br/>
                            </w:r>
                            <w:r w:rsidRPr="00DA035A">
                              <w:rPr>
                                <w:rFonts w:asciiTheme="minorBidi" w:hAnsiTheme="minorBidi"/>
                                <w:b/>
                                <w:bCs/>
                                <w:sz w:val="28"/>
                                <w:szCs w:val="28"/>
                                <w:lang w:val="vi"/>
                              </w:rPr>
                              <w:t>Thiên tai (DIDRR)</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inline>
            </w:drawing>
          </mc:Choice>
          <mc:Fallback>
            <w:pict>
              <v:roundrect w14:anchorId="532ED464" id="_x0000_s1027" alt="&#10;" style="width:436.2pt;height:47.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" fillcolor="#156082 [3204]" strokecolor="#030e13 [484]" strokeweight="1pt">
                <v:stroke joinstyle="miter"/>
                <v:textbox>
                  <w:txbxContent>
                    <w:p w14:paraId="670F7DE3" w14:textId="28188782" w:rsidR="002C54BB" w:rsidRPr="00DA035A" w:rsidRDefault="006E6A09" w:rsidP="002C54BB">
                      <w:pPr>
                        <w:jc w:val="center"/>
                        <w:rPr>
                          <w:rFonts w:asciiTheme="minorBidi" w:hAnsiTheme="minorBidi"/>
                        </w:rPr>
                      </w:pPr>
                      <w:r w:rsidRPr="00DA035A">
                        <w:rPr>
                          <w:rFonts w:asciiTheme="minorBidi" w:hAnsiTheme="minorBidi"/>
                          <w:b/>
                          <w:bCs/>
                          <w:sz w:val="28"/>
                          <w:szCs w:val="28"/>
                          <w:lang w:val="vi"/>
                        </w:rPr>
                        <w:t xml:space="preserve">Hòa nhập Người khuyết tật trong Giảm thiểu Rủi ro </w:t>
                      </w:r>
                      <w:r w:rsidR="00DA035A">
                        <w:rPr>
                          <w:rFonts w:asciiTheme="minorBidi" w:hAnsiTheme="minorBidi"/>
                          <w:b/>
                          <w:bCs/>
                          <w:sz w:val="28"/>
                          <w:szCs w:val="28"/>
                          <w:lang w:val="vi"/>
                        </w:rPr>
                        <w:br/>
                      </w:r>
                      <w:r w:rsidRPr="00DA035A">
                        <w:rPr>
                          <w:rFonts w:asciiTheme="minorBidi" w:hAnsiTheme="minorBidi"/>
                          <w:b/>
                          <w:bCs/>
                          <w:sz w:val="28"/>
                          <w:szCs w:val="28"/>
                          <w:lang w:val="vi"/>
                        </w:rPr>
                        <w:t>Thiên tai (DIDRR)</w:t>
                      </w:r>
                    </w:p>
                  </w:txbxContent>
                </v:textbox>
                <w10:anchorlock/>
              </v:roundrect>
            </w:pict>
          </mc:Fallback>
        </mc:AlternateContent>
      </w:r>
    </w:p>
    <w:p w14:paraId="50568966" w14:textId="77777777" w:rsidR="00834DD5" w:rsidRDefault="00834DD5">
      <w:pPr>
        <w:rPr>
          <w:rFonts w:asciiTheme="minorBidi" w:hAnsiTheme="minorBidi"/>
        </w:rPr>
      </w:pPr>
      <w:r>
        <w:rPr>
          <w:rFonts w:asciiTheme="minorBidi" w:hAnsiTheme="minorBidi"/>
        </w:rPr>
        <w:br w:type="page"/>
      </w:r>
    </w:p>
    <w:p w14:paraId="089B66EF" w14:textId="5C35D306" w:rsidR="00246298" w:rsidRPr="00DA035A" w:rsidRDefault="006E6A09" w:rsidP="00DA035A">
      <w:pPr>
        <w:keepNext/>
        <w:keepLines/>
        <w:spacing w:after="120" w:line="240" w:lineRule="auto"/>
        <w:rPr>
          <w:rFonts w:asciiTheme="minorBidi" w:hAnsiTheme="minorBidi"/>
          <w:lang w:val="en-AU"/>
        </w:rPr>
      </w:pPr>
      <w:r w:rsidRPr="00DA035A">
        <w:rPr>
          <w:rFonts w:asciiTheme="minorBidi" w:hAnsiTheme="minorBidi"/>
          <w:b/>
          <w:bCs/>
          <w:lang w:val="vi"/>
        </w:rPr>
        <w:lastRenderedPageBreak/>
        <w:t>Công ước Liên hợp quốc về Quyền của Người Khuyết tật (United Nations Convention on the Rights of People with Disability)</w:t>
      </w:r>
      <w:r w:rsidRPr="00DA035A">
        <w:rPr>
          <w:rFonts w:asciiTheme="minorBidi" w:hAnsiTheme="minorBidi"/>
          <w:lang w:val="vi"/>
        </w:rPr>
        <w:t xml:space="preserve"> quy định các bên tham gia phải thực hiện mọi biện pháp cần thiết để đảm bảo sự bảo vệ và an toàn cho người khuyết tật trong các tình huống rủi ro, bao gồm các tình huống xung đột vũ trang, trường hợp khẩn cấp nhân đạo và xảy ra thiên tai (Điều 11).</w:t>
      </w:r>
    </w:p>
    <w:p w14:paraId="4CC88F87" w14:textId="22E1E63F" w:rsidR="00FF7E29" w:rsidRPr="00834DD5" w:rsidRDefault="004C37B2" w:rsidP="0091047D">
      <w:pPr>
        <w:spacing w:after="120" w:line="240" w:lineRule="auto"/>
        <w:rPr>
          <w:rFonts w:asciiTheme="minorBidi" w:hAnsiTheme="minorBidi"/>
        </w:rPr>
      </w:pPr>
      <w:r w:rsidRPr="00DA035A">
        <w:rPr>
          <w:rFonts w:asciiTheme="minorBidi" w:hAnsiTheme="minorBidi"/>
          <w:b/>
          <w:bCs/>
          <w:lang w:val="vi"/>
        </w:rPr>
        <w:t>Khung Sendai về Giảm thiểu Rủi ro Thiên tai giai đoạn 2015-2030 (Disaster Risk Reduction 2015-2030)</w:t>
      </w:r>
      <w:r w:rsidRPr="00DA035A">
        <w:rPr>
          <w:rFonts w:asciiTheme="minorBidi" w:hAnsiTheme="minorBidi"/>
          <w:lang w:val="vi"/>
        </w:rPr>
        <w:t xml:space="preserve"> là một thỏa thuận quốc tế về hành động nhằm ngăn chặn những rủi ro thiên tai mới và giảm thiểu rủi ro thiên tai hiện có.</w:t>
      </w:r>
    </w:p>
    <w:p w14:paraId="45370A6E" w14:textId="04359716" w:rsidR="00FF7E29" w:rsidRPr="00834DD5" w:rsidRDefault="006E6A09" w:rsidP="0091047D">
      <w:pPr>
        <w:spacing w:after="120" w:line="240" w:lineRule="auto"/>
        <w:rPr>
          <w:rFonts w:asciiTheme="minorBidi" w:hAnsiTheme="minorBidi"/>
        </w:rPr>
      </w:pPr>
      <w:r w:rsidRPr="00DA035A">
        <w:rPr>
          <w:rFonts w:asciiTheme="minorBidi" w:hAnsiTheme="minorBidi"/>
          <w:b/>
          <w:bCs/>
          <w:lang w:val="vi"/>
        </w:rPr>
        <w:t>Khung Giảm thiểu Rủi ro Thiên tai Quốc gia (National Disaster Risk Reduction Framework)</w:t>
      </w:r>
      <w:r w:rsidRPr="00DA035A">
        <w:rPr>
          <w:rFonts w:asciiTheme="minorBidi" w:hAnsiTheme="minorBidi"/>
          <w:lang w:val="vi"/>
        </w:rPr>
        <w:t xml:space="preserve"> đóng vai trò là cơ sở triển khai Khung Sendai của Úc. Khung này </w:t>
      </w:r>
      <w:hyperlink r:id="rId12" w:tgtFrame="_blank" w:history="1">
        <w:r w:rsidRPr="00DA035A">
          <w:rPr>
            <w:rStyle w:val="Hyperlink"/>
            <w:rFonts w:asciiTheme="minorBidi" w:hAnsiTheme="minorBidi"/>
            <w:color w:val="auto"/>
            <w:u w:val="none"/>
            <w:lang w:val="vi"/>
          </w:rPr>
          <w:t>cung cấp các chiến lược hành động cơ bản, tập trung vào việc hiểu rõ rủi ro thiên tai, ra quyết định có trách nhiệm, tăng cường đầu tư và quản trị hiệu quả</w:t>
        </w:r>
      </w:hyperlink>
      <w:r w:rsidRPr="00DA035A">
        <w:rPr>
          <w:rFonts w:asciiTheme="minorBidi" w:hAnsiTheme="minorBidi"/>
          <w:lang w:val="vi"/>
        </w:rPr>
        <w:t>.</w:t>
      </w:r>
    </w:p>
    <w:p w14:paraId="6B97F660" w14:textId="4F4AD0B5" w:rsidR="00B5618B" w:rsidRPr="00834DD5" w:rsidRDefault="006E6A09" w:rsidP="0091047D">
      <w:pPr>
        <w:spacing w:after="120" w:line="240" w:lineRule="auto"/>
        <w:rPr>
          <w:rFonts w:asciiTheme="minorBidi" w:hAnsiTheme="minorBidi"/>
        </w:rPr>
      </w:pPr>
      <w:r w:rsidRPr="00DA035A">
        <w:rPr>
          <w:rFonts w:asciiTheme="minorBidi" w:hAnsiTheme="minorBidi"/>
          <w:b/>
          <w:bCs/>
          <w:lang w:val="vi"/>
        </w:rPr>
        <w:t>Hòa nhập Người khuyết tật trong Giảm thiểu Rủi ro Thiên tai (DIDRR)</w:t>
      </w:r>
      <w:r w:rsidRPr="00DA035A">
        <w:rPr>
          <w:rFonts w:asciiTheme="minorBidi" w:hAnsiTheme="minorBidi"/>
          <w:lang w:val="vi"/>
        </w:rPr>
        <w:t xml:space="preserve"> cung cấp các chiến lược và thực tiễn nhằm giảm thiểu sự xuất hiện của các mối nguy hiểm, giảm mức độ nguy cơ ảnh hưởng và khả năng dễ bị tổn thương của người dân và tài sản của họ, đồng thời tăng cường năng lực của người dân để đối phó với tác động của chúng.</w:t>
      </w:r>
    </w:p>
    <w:p w14:paraId="3FD3A79A" w14:textId="4A38B7D3" w:rsidR="0062521A" w:rsidRPr="00DA035A" w:rsidRDefault="006E6A09" w:rsidP="0091047D">
      <w:pPr>
        <w:spacing w:after="120" w:line="240" w:lineRule="auto"/>
        <w:rPr>
          <w:rFonts w:asciiTheme="minorBidi" w:hAnsiTheme="minorBidi"/>
          <w:lang w:val="vi"/>
        </w:rPr>
      </w:pPr>
      <w:r w:rsidRPr="00DA035A">
        <w:rPr>
          <w:rFonts w:asciiTheme="minorBidi" w:hAnsiTheme="minorBidi"/>
          <w:b/>
          <w:bCs/>
          <w:lang w:val="vi"/>
        </w:rPr>
        <w:t xml:space="preserve">Tiêu chuẩn Thực hành NDIS cho Quản lý </w:t>
      </w:r>
      <w:r w:rsidR="00BA784F" w:rsidRPr="00BA784F">
        <w:rPr>
          <w:rFonts w:asciiTheme="minorBidi" w:hAnsiTheme="minorBidi"/>
          <w:b/>
          <w:bCs/>
          <w:lang w:val="vi"/>
        </w:rPr>
        <w:t>Thảm họa và Trường hợp Khẩn cấp</w:t>
      </w:r>
      <w:r w:rsidR="00BA784F" w:rsidRPr="00DA035A">
        <w:rPr>
          <w:rFonts w:asciiTheme="minorBidi" w:hAnsiTheme="minorBidi"/>
          <w:lang w:val="vi"/>
        </w:rPr>
        <w:t xml:space="preserve"> </w:t>
      </w:r>
      <w:r w:rsidRPr="00DA035A">
        <w:rPr>
          <w:rFonts w:asciiTheme="minorBidi" w:hAnsiTheme="minorBidi"/>
          <w:b/>
          <w:bCs/>
          <w:lang w:val="vi"/>
        </w:rPr>
        <w:t>(The NDIS Practice Standard for Emergency and Disaster Management)</w:t>
      </w:r>
      <w:r w:rsidR="00220AC9" w:rsidRPr="00DA035A">
        <w:rPr>
          <w:rFonts w:asciiTheme="minorBidi" w:hAnsiTheme="minorBidi"/>
          <w:lang w:val="vi"/>
        </w:rPr>
        <w:t xml:space="preserve"> cung cấp các hướng dẫn và biện pháp thực hành tốt nhất cho các nhà cung cấp dịch vụ dành cho người khuyết tật để đảm bảo sự an toàn, hòa nhập và hỗ trợ hiệu quả cho người khuyết tật trong mọi khía cạnh của quản lý thảm họa và khẩn cấp.</w:t>
      </w:r>
    </w:p>
    <w:p w14:paraId="35D199FC" w14:textId="77777777" w:rsidR="00E71FAE" w:rsidRPr="00DA035A" w:rsidRDefault="006E6A09" w:rsidP="0091047D">
      <w:pPr>
        <w:spacing w:after="120" w:line="240" w:lineRule="auto"/>
        <w:rPr>
          <w:rFonts w:asciiTheme="minorBidi" w:hAnsiTheme="minorBidi"/>
          <w:b/>
          <w:bCs/>
          <w:lang w:val="vi"/>
        </w:rPr>
      </w:pPr>
      <w:r w:rsidRPr="00DA035A">
        <w:rPr>
          <w:rFonts w:asciiTheme="minorBidi" w:hAnsiTheme="minorBidi"/>
          <w:lang w:val="vi"/>
        </w:rPr>
        <w:t>Ngoài ra, Nhà cung cấp NDIS phải đáp ứng các nghĩa vụ theo luật định đối với người lao động và đảm bảo chuẩn bị kế hoạch khẩn cấp cho nơi làm việc [</w:t>
      </w:r>
      <w:r w:rsidR="00455097" w:rsidRPr="00DA035A">
        <w:rPr>
          <w:rFonts w:asciiTheme="minorBidi" w:hAnsiTheme="minorBidi"/>
          <w:i/>
          <w:iCs/>
          <w:lang w:val="vi"/>
        </w:rPr>
        <w:t>Quy định 43,</w:t>
      </w:r>
      <w:r w:rsidRPr="00DA035A">
        <w:rPr>
          <w:rFonts w:asciiTheme="minorBidi" w:hAnsiTheme="minorBidi"/>
          <w:lang w:val="vi"/>
        </w:rPr>
        <w:t xml:space="preserve"> </w:t>
      </w:r>
      <w:r w:rsidR="00762D9B" w:rsidRPr="00DA035A">
        <w:rPr>
          <w:rFonts w:asciiTheme="minorBidi" w:hAnsiTheme="minorBidi"/>
          <w:i/>
          <w:iCs/>
          <w:lang w:val="vi"/>
        </w:rPr>
        <w:t>Quy định về Sức khỏe và An toàn Lao động (WHS) (2017)</w:t>
      </w:r>
      <w:r w:rsidRPr="00DA035A">
        <w:rPr>
          <w:rFonts w:asciiTheme="minorBidi" w:hAnsiTheme="minorBidi"/>
          <w:lang w:val="vi"/>
        </w:rPr>
        <w:t>].</w:t>
      </w:r>
    </w:p>
    <w:p w14:paraId="248F85F1" w14:textId="77777777" w:rsidR="00DB2622" w:rsidRPr="00834DD5" w:rsidRDefault="006E6A09" w:rsidP="0091047D">
      <w:pPr>
        <w:pStyle w:val="Heading2"/>
        <w:rPr>
          <w:rFonts w:asciiTheme="minorBidi" w:hAnsiTheme="minorBidi" w:cstheme="minorBidi"/>
          <w:color w:val="538135"/>
          <w:lang w:val="vi"/>
        </w:rPr>
      </w:pPr>
      <w:r w:rsidRPr="00834DD5">
        <w:rPr>
          <w:rFonts w:asciiTheme="minorBidi" w:hAnsiTheme="minorBidi" w:cstheme="minorBidi"/>
          <w:color w:val="538135"/>
          <w:lang w:val="vi"/>
        </w:rPr>
        <w:t>Áp dụng DIDRR và Tiêu chuẩn Thực hành</w:t>
      </w:r>
    </w:p>
    <w:p w14:paraId="311242C5" w14:textId="77777777" w:rsidR="00115F42" w:rsidRPr="00DA035A" w:rsidRDefault="006E6A09" w:rsidP="0091047D">
      <w:pPr>
        <w:spacing w:after="120" w:line="240" w:lineRule="auto"/>
        <w:rPr>
          <w:rFonts w:asciiTheme="minorBidi" w:hAnsiTheme="minorBidi"/>
          <w:lang w:val="vi"/>
        </w:rPr>
      </w:pPr>
      <w:r w:rsidRPr="00DA035A">
        <w:rPr>
          <w:rFonts w:asciiTheme="minorBidi" w:hAnsiTheme="minorBidi"/>
          <w:lang w:val="vi"/>
        </w:rPr>
        <w:t>Các thành phần chính của DIDRR là:</w:t>
      </w:r>
    </w:p>
    <w:p w14:paraId="24985FB4" w14:textId="4F7636F5" w:rsidR="00115F42" w:rsidRPr="00DA035A" w:rsidRDefault="006E6A09" w:rsidP="0091047D">
      <w:pPr>
        <w:pStyle w:val="ListParagraph"/>
        <w:numPr>
          <w:ilvl w:val="0"/>
          <w:numId w:val="4"/>
        </w:numPr>
        <w:spacing w:after="120" w:line="240" w:lineRule="auto"/>
        <w:contextualSpacing w:val="0"/>
        <w:rPr>
          <w:rFonts w:asciiTheme="minorBidi" w:hAnsiTheme="minorBidi"/>
          <w:lang w:val="vi"/>
        </w:rPr>
      </w:pPr>
      <w:r w:rsidRPr="00DA035A">
        <w:rPr>
          <w:rFonts w:asciiTheme="minorBidi" w:hAnsiTheme="minorBidi"/>
          <w:lang w:val="vi"/>
        </w:rPr>
        <w:t>Đánh giá Rủi ro và Chuẩn bị: Xác định và hiểu rõ những tổn thương và nhu cầu cụ thể của người khuyết tật và kết hợp những điều này vào các kế hoạch và chiến lược phòng chống thiên tai.</w:t>
      </w:r>
    </w:p>
    <w:p w14:paraId="049C3198" w14:textId="77777777" w:rsidR="00115F42" w:rsidRPr="00DA035A" w:rsidRDefault="006E6A09" w:rsidP="0091047D">
      <w:pPr>
        <w:pStyle w:val="ListParagraph"/>
        <w:numPr>
          <w:ilvl w:val="0"/>
          <w:numId w:val="4"/>
        </w:numPr>
        <w:spacing w:after="120" w:line="240" w:lineRule="auto"/>
        <w:contextualSpacing w:val="0"/>
        <w:rPr>
          <w:rFonts w:asciiTheme="minorBidi" w:hAnsiTheme="minorBidi"/>
          <w:lang w:val="vi"/>
        </w:rPr>
      </w:pPr>
      <w:r w:rsidRPr="00DA035A">
        <w:rPr>
          <w:rFonts w:asciiTheme="minorBidi" w:hAnsiTheme="minorBidi"/>
          <w:lang w:val="vi"/>
        </w:rPr>
        <w:t>Ứng phó và Phục hồi: Đảm bảo rằng các ứng phó khẩn cấp mang tính toàn diện và giải quyết được nhu cầu của người khuyết tật, bao gồm các thủ tục sơ tán tiện dụng, cung cấp thiết bị hỗ trợ và hỗ trợ tâm lý xã hội trong quá trình phục hồi.</w:t>
      </w:r>
    </w:p>
    <w:p w14:paraId="77274658" w14:textId="05272987" w:rsidR="00115F42" w:rsidRPr="00DA035A" w:rsidRDefault="006E6A09" w:rsidP="0091047D">
      <w:pPr>
        <w:spacing w:after="120" w:line="240" w:lineRule="auto"/>
        <w:rPr>
          <w:rFonts w:asciiTheme="minorBidi" w:hAnsiTheme="minorBidi"/>
          <w:lang w:val="vi"/>
        </w:rPr>
      </w:pPr>
      <w:r w:rsidRPr="00DA035A">
        <w:rPr>
          <w:rFonts w:asciiTheme="minorBidi" w:hAnsiTheme="minorBidi"/>
          <w:lang w:val="vi"/>
        </w:rPr>
        <w:t>Những điều này được phản ánh trong các nguyên tắc chính của Tiêu chuẩn Thực hành Quản lý Thảm họa và Khẩn cấp của NDIS (NDIS Emergency and Disaster Management Practice Standard).</w:t>
      </w:r>
    </w:p>
    <w:p w14:paraId="38C28BAA" w14:textId="77777777" w:rsidR="00115F42" w:rsidRPr="00DA035A" w:rsidRDefault="006E6A09" w:rsidP="0091047D">
      <w:pPr>
        <w:pStyle w:val="ListParagraph"/>
        <w:numPr>
          <w:ilvl w:val="0"/>
          <w:numId w:val="6"/>
        </w:numPr>
        <w:spacing w:after="120" w:line="240" w:lineRule="auto"/>
        <w:contextualSpacing w:val="0"/>
        <w:rPr>
          <w:rFonts w:asciiTheme="minorBidi" w:hAnsiTheme="minorBidi"/>
          <w:lang w:val="vi"/>
        </w:rPr>
      </w:pPr>
      <w:r w:rsidRPr="00DA035A">
        <w:rPr>
          <w:rFonts w:asciiTheme="minorBidi" w:hAnsiTheme="minorBidi"/>
          <w:lang w:val="vi"/>
        </w:rPr>
        <w:t>Lập kế hoạch và chuẩn bị toàn diện: Kết hợp các phương pháp tiếp cận hòa nhập với người khuyết tật vào các hoạt động lập kế hoạch khẩn cấp, đánh giá rủi ro và các hoạt động chuẩn bị để đảm bảo sự tham gia đầy đủ và an toàn của người khuyết tật.</w:t>
      </w:r>
    </w:p>
    <w:p w14:paraId="1A74CF9A" w14:textId="4A70CF53" w:rsidR="00115F42" w:rsidRPr="00DA035A" w:rsidRDefault="006E6A09" w:rsidP="0091047D">
      <w:pPr>
        <w:pStyle w:val="ListParagraph"/>
        <w:numPr>
          <w:ilvl w:val="0"/>
          <w:numId w:val="6"/>
        </w:numPr>
        <w:spacing w:after="120" w:line="240" w:lineRule="auto"/>
        <w:contextualSpacing w:val="0"/>
        <w:rPr>
          <w:rFonts w:asciiTheme="minorBidi" w:hAnsiTheme="minorBidi"/>
          <w:lang w:val="vi"/>
        </w:rPr>
      </w:pPr>
      <w:r w:rsidRPr="00DA035A">
        <w:rPr>
          <w:rFonts w:asciiTheme="minorBidi" w:hAnsiTheme="minorBidi"/>
          <w:lang w:val="vi"/>
        </w:rPr>
        <w:t>Thông tin và truyền thông có thể tiếp cận: Cung cấp thông tin, cảnh báo và hướng dẫn có thể tiếp cận và kịp thời cho người khuyết tật bằng các định dạng và ngôn ngữ mà họ có thể hiểu và tiếp cận.</w:t>
      </w:r>
    </w:p>
    <w:p w14:paraId="0E4D0E6E" w14:textId="77777777" w:rsidR="00115F42" w:rsidRPr="00DA035A" w:rsidRDefault="006E6A09" w:rsidP="0091047D">
      <w:pPr>
        <w:pStyle w:val="ListParagraph"/>
        <w:numPr>
          <w:ilvl w:val="0"/>
          <w:numId w:val="6"/>
        </w:numPr>
        <w:spacing w:after="120" w:line="240" w:lineRule="auto"/>
        <w:contextualSpacing w:val="0"/>
        <w:rPr>
          <w:rFonts w:asciiTheme="minorBidi" w:hAnsiTheme="minorBidi"/>
          <w:lang w:val="vi"/>
        </w:rPr>
      </w:pPr>
      <w:r w:rsidRPr="00DA035A">
        <w:rPr>
          <w:rFonts w:asciiTheme="minorBidi" w:hAnsiTheme="minorBidi"/>
          <w:lang w:val="vi"/>
        </w:rPr>
        <w:t>Hợp tác và phối hợp: Hợp tác với các tổ chức khuyết tật, cơ quan quản lý tình trạng khẩn cấp và các bên liên quan khác để đảm bảo sự phối hợp và lồng ghép các thực hành hòa nhập với người khuyết tật trong các nỗ lực ứng phó và phục hồi khẩn cấp.</w:t>
      </w:r>
    </w:p>
    <w:p w14:paraId="3D2F5060" w14:textId="77777777" w:rsidR="00115F42" w:rsidRPr="00DA035A" w:rsidRDefault="006E6A09" w:rsidP="0091047D">
      <w:pPr>
        <w:pStyle w:val="ListParagraph"/>
        <w:numPr>
          <w:ilvl w:val="0"/>
          <w:numId w:val="6"/>
        </w:numPr>
        <w:spacing w:after="120" w:line="240" w:lineRule="auto"/>
        <w:contextualSpacing w:val="0"/>
        <w:rPr>
          <w:rFonts w:asciiTheme="minorBidi" w:hAnsiTheme="minorBidi"/>
          <w:lang w:val="vi"/>
        </w:rPr>
      </w:pPr>
      <w:r w:rsidRPr="00DA035A">
        <w:rPr>
          <w:rFonts w:asciiTheme="minorBidi" w:hAnsiTheme="minorBidi"/>
          <w:lang w:val="vi"/>
        </w:rPr>
        <w:t>Cách tiếp cận dựa trên Quyền: Đề cao quyền và nhân phẩm của người khuyết tật trong tất cả các giai đoạn quản lý tình trạng khẩn cấp, bao gồm tôn trọng quyền tự chủ, lựa chọn và không phân biệt đối xử.</w:t>
      </w:r>
    </w:p>
    <w:p w14:paraId="5B2B587A" w14:textId="64CE6E3B" w:rsidR="00DB2622" w:rsidRPr="00C53673" w:rsidRDefault="006E6A09" w:rsidP="0091047D">
      <w:pPr>
        <w:spacing w:after="120" w:line="240" w:lineRule="auto"/>
        <w:rPr>
          <w:rFonts w:asciiTheme="minorBidi" w:hAnsiTheme="minorBidi"/>
          <w:b/>
          <w:bCs/>
        </w:rPr>
      </w:pPr>
      <w:r w:rsidRPr="00DA035A">
        <w:rPr>
          <w:rFonts w:asciiTheme="minorBidi" w:hAnsiTheme="minorBidi"/>
          <w:b/>
          <w:bCs/>
          <w:lang w:val="vi"/>
        </w:rPr>
        <w:t>Hòa nhập Người khuyết tật trong Giảm thiểu Rủi ro Thiên tai (DIDRR) là điều cần thiết để đảm bảo sự an toàn, khả năng phục hồi và sự tham gia đầy đủ của người khuyết tật trong tất cả các khía cạnh của quản lý tình trạng khẩn cấp và thảm họa.</w:t>
      </w:r>
    </w:p>
    <w:p w14:paraId="28EE25DA" w14:textId="3DA06168" w:rsidR="00757ADF" w:rsidRDefault="006E6A09" w:rsidP="0091047D">
      <w:pPr>
        <w:spacing w:after="120" w:line="240" w:lineRule="auto"/>
        <w:rPr>
          <w:rFonts w:asciiTheme="minorBidi" w:hAnsiTheme="minorBidi"/>
          <w:b/>
          <w:bCs/>
        </w:rPr>
      </w:pPr>
      <w:r w:rsidRPr="00DA035A">
        <w:rPr>
          <w:rFonts w:asciiTheme="minorBidi" w:hAnsiTheme="minorBidi"/>
          <w:b/>
          <w:bCs/>
          <w:lang w:val="vi"/>
        </w:rPr>
        <w:t>Bằng cách thực hiện các nguyên tắc và thực hành được nêu trong Tiêu chuẩn</w:t>
      </w:r>
      <w:r w:rsidR="00834DD5">
        <w:rPr>
          <w:rFonts w:asciiTheme="minorBidi" w:hAnsiTheme="minorBidi"/>
          <w:b/>
          <w:bCs/>
        </w:rPr>
        <w:t xml:space="preserve"> </w:t>
      </w:r>
      <w:r w:rsidRPr="00DA035A">
        <w:rPr>
          <w:rFonts w:asciiTheme="minorBidi" w:hAnsiTheme="minorBidi"/>
          <w:b/>
          <w:bCs/>
          <w:lang w:val="vi"/>
        </w:rPr>
        <w:t>Thực hành Quản lý Thảm họa và Khẩn cấp của NDIS (NDIS Emergency and Disaster Management Practice Standard), các nhà cung cấp dịch vụ dành cho người khuyết tật có thể hỗ trợ hiệu quả cho người khuyết tật trước, trong và sau khi khẩn cấp xảy ra, từ đó thúc đẩy các quyền, phúc lợi và sự hòa nhập của họ trong xã hội.</w:t>
      </w:r>
    </w:p>
    <w:p w14:paraId="6AB21893" w14:textId="26816EB9" w:rsidR="003E6DC0" w:rsidRPr="003E6DC0" w:rsidRDefault="003E6DC0" w:rsidP="0091047D">
      <w:pPr>
        <w:spacing w:after="120" w:line="240" w:lineRule="auto"/>
        <w:rPr>
          <w:rFonts w:asciiTheme="minorBidi" w:hAnsiTheme="minorBidi"/>
        </w:rPr>
      </w:pPr>
      <w:proofErr w:type="spellStart"/>
      <w:r w:rsidRPr="003E6DC0">
        <w:rPr>
          <w:rFonts w:asciiTheme="minorBidi" w:hAnsiTheme="minorBidi"/>
        </w:rPr>
        <w:t>Được</w:t>
      </w:r>
      <w:proofErr w:type="spellEnd"/>
      <w:r w:rsidRPr="003E6DC0">
        <w:rPr>
          <w:rFonts w:asciiTheme="minorBidi" w:hAnsiTheme="minorBidi"/>
        </w:rPr>
        <w:t xml:space="preserve"> </w:t>
      </w:r>
      <w:proofErr w:type="spellStart"/>
      <w:r w:rsidRPr="003E6DC0">
        <w:rPr>
          <w:rFonts w:asciiTheme="minorBidi" w:hAnsiTheme="minorBidi"/>
        </w:rPr>
        <w:t>tài</w:t>
      </w:r>
      <w:proofErr w:type="spellEnd"/>
      <w:r w:rsidRPr="003E6DC0">
        <w:rPr>
          <w:rFonts w:asciiTheme="minorBidi" w:hAnsiTheme="minorBidi"/>
        </w:rPr>
        <w:t xml:space="preserve"> </w:t>
      </w:r>
      <w:proofErr w:type="spellStart"/>
      <w:r w:rsidRPr="003E6DC0">
        <w:rPr>
          <w:rFonts w:asciiTheme="minorBidi" w:hAnsiTheme="minorBidi"/>
        </w:rPr>
        <w:t>trợ</w:t>
      </w:r>
      <w:proofErr w:type="spellEnd"/>
      <w:r w:rsidRPr="003E6DC0">
        <w:rPr>
          <w:rFonts w:asciiTheme="minorBidi" w:hAnsiTheme="minorBidi"/>
        </w:rPr>
        <w:t xml:space="preserve"> </w:t>
      </w:r>
      <w:proofErr w:type="spellStart"/>
      <w:r w:rsidRPr="003E6DC0">
        <w:rPr>
          <w:rFonts w:asciiTheme="minorBidi" w:hAnsiTheme="minorBidi"/>
        </w:rPr>
        <w:t>bởi</w:t>
      </w:r>
      <w:proofErr w:type="spellEnd"/>
      <w:r w:rsidRPr="003E6DC0">
        <w:rPr>
          <w:rFonts w:asciiTheme="minorBidi" w:hAnsiTheme="minorBidi"/>
        </w:rPr>
        <w:t xml:space="preserve"> </w:t>
      </w:r>
      <w:proofErr w:type="spellStart"/>
      <w:r w:rsidRPr="003E6DC0">
        <w:rPr>
          <w:rFonts w:asciiTheme="minorBidi" w:hAnsiTheme="minorBidi"/>
        </w:rPr>
        <w:t>chương</w:t>
      </w:r>
      <w:proofErr w:type="spellEnd"/>
      <w:r w:rsidRPr="003E6DC0">
        <w:rPr>
          <w:rFonts w:asciiTheme="minorBidi" w:hAnsiTheme="minorBidi"/>
        </w:rPr>
        <w:t xml:space="preserve"> </w:t>
      </w:r>
      <w:proofErr w:type="spellStart"/>
      <w:r w:rsidRPr="003E6DC0">
        <w:rPr>
          <w:rFonts w:asciiTheme="minorBidi" w:hAnsiTheme="minorBidi"/>
        </w:rPr>
        <w:t>trình</w:t>
      </w:r>
      <w:proofErr w:type="spellEnd"/>
      <w:r w:rsidRPr="003E6DC0">
        <w:rPr>
          <w:rFonts w:asciiTheme="minorBidi" w:hAnsiTheme="minorBidi"/>
        </w:rPr>
        <w:t xml:space="preserve"> </w:t>
      </w:r>
      <w:proofErr w:type="spellStart"/>
      <w:r w:rsidRPr="003E6DC0">
        <w:rPr>
          <w:rFonts w:asciiTheme="minorBidi" w:hAnsiTheme="minorBidi"/>
        </w:rPr>
        <w:t>trợ</w:t>
      </w:r>
      <w:proofErr w:type="spellEnd"/>
      <w:r w:rsidRPr="003E6DC0">
        <w:rPr>
          <w:rFonts w:asciiTheme="minorBidi" w:hAnsiTheme="minorBidi"/>
        </w:rPr>
        <w:t xml:space="preserve"> </w:t>
      </w:r>
      <w:proofErr w:type="spellStart"/>
      <w:r w:rsidRPr="003E6DC0">
        <w:rPr>
          <w:rFonts w:asciiTheme="minorBidi" w:hAnsiTheme="minorBidi"/>
        </w:rPr>
        <w:t>cấp</w:t>
      </w:r>
      <w:proofErr w:type="spellEnd"/>
      <w:r w:rsidRPr="003E6DC0">
        <w:rPr>
          <w:rFonts w:asciiTheme="minorBidi" w:hAnsiTheme="minorBidi"/>
        </w:rPr>
        <w:t xml:space="preserve"> </w:t>
      </w:r>
      <w:proofErr w:type="spellStart"/>
      <w:r w:rsidRPr="003E6DC0">
        <w:rPr>
          <w:rFonts w:asciiTheme="minorBidi" w:hAnsiTheme="minorBidi"/>
        </w:rPr>
        <w:t>của</w:t>
      </w:r>
      <w:proofErr w:type="spellEnd"/>
      <w:r w:rsidRPr="003E6DC0">
        <w:rPr>
          <w:rFonts w:asciiTheme="minorBidi" w:hAnsiTheme="minorBidi"/>
        </w:rPr>
        <w:t xml:space="preserve"> </w:t>
      </w:r>
      <w:proofErr w:type="spellStart"/>
      <w:r w:rsidRPr="003E6DC0">
        <w:rPr>
          <w:rFonts w:asciiTheme="minorBidi" w:hAnsiTheme="minorBidi"/>
        </w:rPr>
        <w:t>Ủy</w:t>
      </w:r>
      <w:proofErr w:type="spellEnd"/>
      <w:r w:rsidRPr="003E6DC0">
        <w:rPr>
          <w:rFonts w:asciiTheme="minorBidi" w:hAnsiTheme="minorBidi"/>
        </w:rPr>
        <w:t xml:space="preserve"> ban Bảo </w:t>
      </w:r>
      <w:proofErr w:type="spellStart"/>
      <w:r w:rsidRPr="003E6DC0">
        <w:rPr>
          <w:rFonts w:asciiTheme="minorBidi" w:hAnsiTheme="minorBidi"/>
        </w:rPr>
        <w:t>vệ</w:t>
      </w:r>
      <w:proofErr w:type="spellEnd"/>
      <w:r w:rsidRPr="003E6DC0">
        <w:rPr>
          <w:rFonts w:asciiTheme="minorBidi" w:hAnsiTheme="minorBidi"/>
        </w:rPr>
        <w:t xml:space="preserve"> </w:t>
      </w:r>
      <w:proofErr w:type="spellStart"/>
      <w:r w:rsidRPr="003E6DC0">
        <w:rPr>
          <w:rFonts w:asciiTheme="minorBidi" w:hAnsiTheme="minorBidi"/>
        </w:rPr>
        <w:t>và</w:t>
      </w:r>
      <w:proofErr w:type="spellEnd"/>
      <w:r w:rsidRPr="003E6DC0">
        <w:rPr>
          <w:rFonts w:asciiTheme="minorBidi" w:hAnsiTheme="minorBidi"/>
        </w:rPr>
        <w:t xml:space="preserve"> </w:t>
      </w:r>
      <w:proofErr w:type="spellStart"/>
      <w:r w:rsidRPr="003E6DC0">
        <w:rPr>
          <w:rFonts w:asciiTheme="minorBidi" w:hAnsiTheme="minorBidi"/>
        </w:rPr>
        <w:t>Chất</w:t>
      </w:r>
      <w:proofErr w:type="spellEnd"/>
      <w:r w:rsidRPr="003E6DC0">
        <w:rPr>
          <w:rFonts w:asciiTheme="minorBidi" w:hAnsiTheme="minorBidi"/>
        </w:rPr>
        <w:t xml:space="preserve"> </w:t>
      </w:r>
      <w:proofErr w:type="spellStart"/>
      <w:r w:rsidRPr="003E6DC0">
        <w:rPr>
          <w:rFonts w:asciiTheme="minorBidi" w:hAnsiTheme="minorBidi"/>
        </w:rPr>
        <w:t>lượng</w:t>
      </w:r>
      <w:proofErr w:type="spellEnd"/>
      <w:r w:rsidRPr="003E6DC0">
        <w:rPr>
          <w:rFonts w:asciiTheme="minorBidi" w:hAnsiTheme="minorBidi"/>
        </w:rPr>
        <w:t xml:space="preserve"> NDIS</w:t>
      </w:r>
    </w:p>
    <w:sectPr w:rsidR="003E6DC0" w:rsidRPr="003E6DC0" w:rsidSect="009D7C42">
      <w:headerReference w:type="default" r:id="rId13"/>
      <w:footerReference w:type="default" r:id="rId14"/>
      <w:pgSz w:w="12240" w:h="15840"/>
      <w:pgMar w:top="1134" w:right="1134"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F008F" w14:textId="77777777" w:rsidR="00500197" w:rsidRDefault="00500197" w:rsidP="0004469C">
      <w:pPr>
        <w:spacing w:after="0" w:line="240" w:lineRule="auto"/>
      </w:pPr>
      <w:r>
        <w:separator/>
      </w:r>
    </w:p>
  </w:endnote>
  <w:endnote w:type="continuationSeparator" w:id="0">
    <w:p w14:paraId="78E9DBD8" w14:textId="77777777" w:rsidR="00500197" w:rsidRDefault="00500197" w:rsidP="00044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D0C98" w14:textId="77C29949" w:rsidR="00FE433C" w:rsidRDefault="00FE433C">
    <w:pPr>
      <w:pStyle w:val="Footer"/>
    </w:pPr>
    <w:r w:rsidRPr="00FE433C">
      <w:rPr>
        <w:rFonts w:ascii="Arial" w:eastAsia="Calibri" w:hAnsi="Arial" w:cs="Arial"/>
        <w:b/>
        <w:bCs/>
        <w:noProof/>
        <w:sz w:val="28"/>
        <w:szCs w:val="28"/>
        <w:lang w:val="en-AU"/>
      </w:rPr>
      <mc:AlternateContent>
        <mc:Choice Requires="wps">
          <w:drawing>
            <wp:inline distT="0" distB="0" distL="0" distR="0" wp14:anchorId="7F7F85A5" wp14:editId="292C9575">
              <wp:extent cx="1661823" cy="1723644"/>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823" cy="1723644"/>
                      </a:xfrm>
                      <a:prstGeom prst="rect">
                        <a:avLst/>
                      </a:prstGeom>
                      <a:noFill/>
                      <a:ln w="9525">
                        <a:noFill/>
                        <a:miter lim="800000"/>
                        <a:headEnd/>
                        <a:tailEnd/>
                      </a:ln>
                    </wps:spPr>
                    <wps:txbx>
                      <w:txbxContent>
                        <w:p w14:paraId="519CAF3A" w14:textId="77777777" w:rsidR="00FE433C" w:rsidRPr="00FE433C" w:rsidRDefault="00FE433C" w:rsidP="00FE433C">
                          <w:pPr>
                            <w:ind w:left="-142"/>
                            <w:rPr>
                              <w:rFonts w:ascii="Arial" w:hAnsi="Arial"/>
                              <w:sz w:val="22"/>
                              <w:szCs w:val="22"/>
                            </w:rPr>
                          </w:pPr>
                          <w:r w:rsidRPr="00FE433C">
                            <w:rPr>
                              <w:rFonts w:ascii="Arial" w:hAnsi="Arial"/>
                              <w:sz w:val="22"/>
                              <w:szCs w:val="22"/>
                              <w:lang w:val="vi"/>
                            </w:rPr>
                            <w:t>Vietnamese | Tiếng Việt</w:t>
                          </w:r>
                        </w:p>
                      </w:txbxContent>
                    </wps:txbx>
                    <wps:bodyPr rot="0" vert="horz" wrap="square" anchor="t" anchorCtr="0">
                      <a:spAutoFit/>
                    </wps:bodyPr>
                  </wps:wsp>
                </a:graphicData>
              </a:graphic>
            </wp:inline>
          </w:drawing>
        </mc:Choice>
        <mc:Fallback>
          <w:pict>
            <v:shapetype w14:anchorId="7F7F85A5" id="_x0000_t202" coordsize="21600,21600" o:spt="202" path="m,l,21600r21600,l21600,xe">
              <v:stroke joinstyle="miter"/>
              <v:path gradientshapeok="t" o:connecttype="rect"/>
            </v:shapetype>
            <v:shape id="Text Box 2" o:spid="_x0000_s1028" type="#_x0000_t202" style="width:130.85pt;height:13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" filled="f" stroked="f">
              <v:textbox style="mso-fit-shape-to-text:t">
                <w:txbxContent>
                  <w:p w14:paraId="519CAF3A" w14:textId="77777777" w:rsidR="00FE433C" w:rsidRPr="00FE433C" w:rsidRDefault="00FE433C" w:rsidP="00FE433C">
                    <w:pPr>
                      <w:ind w:left="-142"/>
                      <w:rPr>
                        <w:rFonts w:ascii="Arial" w:hAnsi="Arial"/>
                        <w:sz w:val="22"/>
                        <w:szCs w:val="22"/>
                      </w:rPr>
                    </w:pPr>
                    <w:r w:rsidRPr="00FE433C">
                      <w:rPr>
                        <w:rFonts w:ascii="Arial" w:hAnsi="Arial"/>
                        <w:sz w:val="22"/>
                        <w:szCs w:val="22"/>
                        <w:lang w:val="vi"/>
                      </w:rPr>
                      <w:t>Vietnamese | Tiếng Việt</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AA76A" w14:textId="77777777" w:rsidR="00500197" w:rsidRDefault="00500197" w:rsidP="0004469C">
      <w:pPr>
        <w:spacing w:after="0" w:line="240" w:lineRule="auto"/>
      </w:pPr>
      <w:r>
        <w:separator/>
      </w:r>
    </w:p>
  </w:footnote>
  <w:footnote w:type="continuationSeparator" w:id="0">
    <w:p w14:paraId="58A6138C" w14:textId="77777777" w:rsidR="00500197" w:rsidRDefault="00500197" w:rsidP="00044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20A40" w14:textId="25A7A67A" w:rsidR="0004469C" w:rsidRDefault="0004469C">
    <w:pPr>
      <w:pStyle w:val="Header"/>
    </w:pPr>
    <w:r>
      <w:rPr>
        <w:noProof/>
      </w:rPr>
      <w:drawing>
        <wp:anchor distT="0" distB="0" distL="114300" distR="114300" simplePos="0" relativeHeight="251658240" behindDoc="1" locked="0" layoutInCell="1" allowOverlap="1" wp14:anchorId="2BAA6CB7" wp14:editId="155C96C7">
          <wp:simplePos x="0" y="0"/>
          <wp:positionH relativeFrom="page">
            <wp:posOffset>0</wp:posOffset>
          </wp:positionH>
          <wp:positionV relativeFrom="page">
            <wp:posOffset>0</wp:posOffset>
          </wp:positionV>
          <wp:extent cx="7545600" cy="608400"/>
          <wp:effectExtent l="0" t="0" r="0" b="1270"/>
          <wp:wrapNone/>
          <wp:docPr id="998609483" name="Picture 1" descr="Logo of Resources for NDIS Emergency and Disaster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09483" name="Picture 1" descr="Logo of Resources for NDIS Emergency and Disaster Management"/>
                  <pic:cNvPicPr/>
                </pic:nvPicPr>
                <pic:blipFill>
                  <a:blip r:embed="rId1">
                    <a:extLst>
                      <a:ext uri="{28A0092B-C50C-407E-A947-70E740481C1C}">
                        <a14:useLocalDpi xmlns:a14="http://schemas.microsoft.com/office/drawing/2010/main" val="0"/>
                      </a:ext>
                    </a:extLst>
                  </a:blip>
                  <a:stretch>
                    <a:fillRect/>
                  </a:stretch>
                </pic:blipFill>
                <pic:spPr>
                  <a:xfrm>
                    <a:off x="0" y="0"/>
                    <a:ext cx="75456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37E31"/>
    <w:multiLevelType w:val="hybridMultilevel"/>
    <w:tmpl w:val="DE448878"/>
    <w:lvl w:ilvl="0" w:tplc="F294B2D2">
      <w:start w:val="1"/>
      <w:numFmt w:val="decimal"/>
      <w:lvlText w:val="%1."/>
      <w:lvlJc w:val="left"/>
      <w:pPr>
        <w:ind w:left="720" w:hanging="360"/>
      </w:pPr>
    </w:lvl>
    <w:lvl w:ilvl="1" w:tplc="CBE0F5FE" w:tentative="1">
      <w:start w:val="1"/>
      <w:numFmt w:val="lowerLetter"/>
      <w:lvlText w:val="%2."/>
      <w:lvlJc w:val="left"/>
      <w:pPr>
        <w:ind w:left="1440" w:hanging="360"/>
      </w:pPr>
    </w:lvl>
    <w:lvl w:ilvl="2" w:tplc="C9208A0C" w:tentative="1">
      <w:start w:val="1"/>
      <w:numFmt w:val="lowerRoman"/>
      <w:lvlText w:val="%3."/>
      <w:lvlJc w:val="right"/>
      <w:pPr>
        <w:ind w:left="2160" w:hanging="180"/>
      </w:pPr>
    </w:lvl>
    <w:lvl w:ilvl="3" w:tplc="8A66CC74" w:tentative="1">
      <w:start w:val="1"/>
      <w:numFmt w:val="decimal"/>
      <w:lvlText w:val="%4."/>
      <w:lvlJc w:val="left"/>
      <w:pPr>
        <w:ind w:left="2880" w:hanging="360"/>
      </w:pPr>
    </w:lvl>
    <w:lvl w:ilvl="4" w:tplc="FF2E4112" w:tentative="1">
      <w:start w:val="1"/>
      <w:numFmt w:val="lowerLetter"/>
      <w:lvlText w:val="%5."/>
      <w:lvlJc w:val="left"/>
      <w:pPr>
        <w:ind w:left="3600" w:hanging="360"/>
      </w:pPr>
    </w:lvl>
    <w:lvl w:ilvl="5" w:tplc="C21886A4" w:tentative="1">
      <w:start w:val="1"/>
      <w:numFmt w:val="lowerRoman"/>
      <w:lvlText w:val="%6."/>
      <w:lvlJc w:val="right"/>
      <w:pPr>
        <w:ind w:left="4320" w:hanging="180"/>
      </w:pPr>
    </w:lvl>
    <w:lvl w:ilvl="6" w:tplc="C21E8FD6" w:tentative="1">
      <w:start w:val="1"/>
      <w:numFmt w:val="decimal"/>
      <w:lvlText w:val="%7."/>
      <w:lvlJc w:val="left"/>
      <w:pPr>
        <w:ind w:left="5040" w:hanging="360"/>
      </w:pPr>
    </w:lvl>
    <w:lvl w:ilvl="7" w:tplc="A6523614" w:tentative="1">
      <w:start w:val="1"/>
      <w:numFmt w:val="lowerLetter"/>
      <w:lvlText w:val="%8."/>
      <w:lvlJc w:val="left"/>
      <w:pPr>
        <w:ind w:left="5760" w:hanging="360"/>
      </w:pPr>
    </w:lvl>
    <w:lvl w:ilvl="8" w:tplc="0D06DA70" w:tentative="1">
      <w:start w:val="1"/>
      <w:numFmt w:val="lowerRoman"/>
      <w:lvlText w:val="%9."/>
      <w:lvlJc w:val="right"/>
      <w:pPr>
        <w:ind w:left="6480" w:hanging="180"/>
      </w:pPr>
    </w:lvl>
  </w:abstractNum>
  <w:abstractNum w:abstractNumId="1" w15:restartNumberingAfterBreak="0">
    <w:nsid w:val="18D31481"/>
    <w:multiLevelType w:val="hybridMultilevel"/>
    <w:tmpl w:val="A19A3DA4"/>
    <w:lvl w:ilvl="0" w:tplc="AEF47AA2">
      <w:start w:val="1"/>
      <w:numFmt w:val="decimal"/>
      <w:lvlText w:val="%1."/>
      <w:lvlJc w:val="left"/>
      <w:pPr>
        <w:ind w:left="720" w:hanging="360"/>
      </w:pPr>
    </w:lvl>
    <w:lvl w:ilvl="1" w:tplc="350EAD24" w:tentative="1">
      <w:start w:val="1"/>
      <w:numFmt w:val="lowerLetter"/>
      <w:lvlText w:val="%2."/>
      <w:lvlJc w:val="left"/>
      <w:pPr>
        <w:ind w:left="1440" w:hanging="360"/>
      </w:pPr>
    </w:lvl>
    <w:lvl w:ilvl="2" w:tplc="D8304524" w:tentative="1">
      <w:start w:val="1"/>
      <w:numFmt w:val="lowerRoman"/>
      <w:lvlText w:val="%3."/>
      <w:lvlJc w:val="right"/>
      <w:pPr>
        <w:ind w:left="2160" w:hanging="180"/>
      </w:pPr>
    </w:lvl>
    <w:lvl w:ilvl="3" w:tplc="F7D43044" w:tentative="1">
      <w:start w:val="1"/>
      <w:numFmt w:val="decimal"/>
      <w:lvlText w:val="%4."/>
      <w:lvlJc w:val="left"/>
      <w:pPr>
        <w:ind w:left="2880" w:hanging="360"/>
      </w:pPr>
    </w:lvl>
    <w:lvl w:ilvl="4" w:tplc="145C76A4" w:tentative="1">
      <w:start w:val="1"/>
      <w:numFmt w:val="lowerLetter"/>
      <w:lvlText w:val="%5."/>
      <w:lvlJc w:val="left"/>
      <w:pPr>
        <w:ind w:left="3600" w:hanging="360"/>
      </w:pPr>
    </w:lvl>
    <w:lvl w:ilvl="5" w:tplc="E890661A" w:tentative="1">
      <w:start w:val="1"/>
      <w:numFmt w:val="lowerRoman"/>
      <w:lvlText w:val="%6."/>
      <w:lvlJc w:val="right"/>
      <w:pPr>
        <w:ind w:left="4320" w:hanging="180"/>
      </w:pPr>
    </w:lvl>
    <w:lvl w:ilvl="6" w:tplc="56BE1BDE" w:tentative="1">
      <w:start w:val="1"/>
      <w:numFmt w:val="decimal"/>
      <w:lvlText w:val="%7."/>
      <w:lvlJc w:val="left"/>
      <w:pPr>
        <w:ind w:left="5040" w:hanging="360"/>
      </w:pPr>
    </w:lvl>
    <w:lvl w:ilvl="7" w:tplc="7DCA52BC" w:tentative="1">
      <w:start w:val="1"/>
      <w:numFmt w:val="lowerLetter"/>
      <w:lvlText w:val="%8."/>
      <w:lvlJc w:val="left"/>
      <w:pPr>
        <w:ind w:left="5760" w:hanging="360"/>
      </w:pPr>
    </w:lvl>
    <w:lvl w:ilvl="8" w:tplc="7B40C69E" w:tentative="1">
      <w:start w:val="1"/>
      <w:numFmt w:val="lowerRoman"/>
      <w:lvlText w:val="%9."/>
      <w:lvlJc w:val="right"/>
      <w:pPr>
        <w:ind w:left="6480" w:hanging="180"/>
      </w:pPr>
    </w:lvl>
  </w:abstractNum>
  <w:abstractNum w:abstractNumId="2" w15:restartNumberingAfterBreak="0">
    <w:nsid w:val="1900558A"/>
    <w:multiLevelType w:val="hybridMultilevel"/>
    <w:tmpl w:val="5E6A6950"/>
    <w:lvl w:ilvl="0" w:tplc="55A04A22">
      <w:start w:val="1"/>
      <w:numFmt w:val="decimal"/>
      <w:lvlText w:val="%1."/>
      <w:lvlJc w:val="left"/>
      <w:pPr>
        <w:ind w:left="456" w:hanging="360"/>
      </w:pPr>
      <w:rPr>
        <w:rFonts w:hint="default"/>
      </w:rPr>
    </w:lvl>
    <w:lvl w:ilvl="1" w:tplc="60F88CA4" w:tentative="1">
      <w:start w:val="1"/>
      <w:numFmt w:val="lowerLetter"/>
      <w:lvlText w:val="%2."/>
      <w:lvlJc w:val="left"/>
      <w:pPr>
        <w:ind w:left="1176" w:hanging="360"/>
      </w:pPr>
    </w:lvl>
    <w:lvl w:ilvl="2" w:tplc="02AE05BC" w:tentative="1">
      <w:start w:val="1"/>
      <w:numFmt w:val="lowerRoman"/>
      <w:lvlText w:val="%3."/>
      <w:lvlJc w:val="right"/>
      <w:pPr>
        <w:ind w:left="1896" w:hanging="180"/>
      </w:pPr>
    </w:lvl>
    <w:lvl w:ilvl="3" w:tplc="718A5388" w:tentative="1">
      <w:start w:val="1"/>
      <w:numFmt w:val="decimal"/>
      <w:lvlText w:val="%4."/>
      <w:lvlJc w:val="left"/>
      <w:pPr>
        <w:ind w:left="2616" w:hanging="360"/>
      </w:pPr>
    </w:lvl>
    <w:lvl w:ilvl="4" w:tplc="152ED1E2" w:tentative="1">
      <w:start w:val="1"/>
      <w:numFmt w:val="lowerLetter"/>
      <w:lvlText w:val="%5."/>
      <w:lvlJc w:val="left"/>
      <w:pPr>
        <w:ind w:left="3336" w:hanging="360"/>
      </w:pPr>
    </w:lvl>
    <w:lvl w:ilvl="5" w:tplc="8B3CDEB2" w:tentative="1">
      <w:start w:val="1"/>
      <w:numFmt w:val="lowerRoman"/>
      <w:lvlText w:val="%6."/>
      <w:lvlJc w:val="right"/>
      <w:pPr>
        <w:ind w:left="4056" w:hanging="180"/>
      </w:pPr>
    </w:lvl>
    <w:lvl w:ilvl="6" w:tplc="F1A8427C" w:tentative="1">
      <w:start w:val="1"/>
      <w:numFmt w:val="decimal"/>
      <w:lvlText w:val="%7."/>
      <w:lvlJc w:val="left"/>
      <w:pPr>
        <w:ind w:left="4776" w:hanging="360"/>
      </w:pPr>
    </w:lvl>
    <w:lvl w:ilvl="7" w:tplc="0BE49DB0" w:tentative="1">
      <w:start w:val="1"/>
      <w:numFmt w:val="lowerLetter"/>
      <w:lvlText w:val="%8."/>
      <w:lvlJc w:val="left"/>
      <w:pPr>
        <w:ind w:left="5496" w:hanging="360"/>
      </w:pPr>
    </w:lvl>
    <w:lvl w:ilvl="8" w:tplc="058663D8" w:tentative="1">
      <w:start w:val="1"/>
      <w:numFmt w:val="lowerRoman"/>
      <w:lvlText w:val="%9."/>
      <w:lvlJc w:val="right"/>
      <w:pPr>
        <w:ind w:left="6216" w:hanging="180"/>
      </w:pPr>
    </w:lvl>
  </w:abstractNum>
  <w:abstractNum w:abstractNumId="3" w15:restartNumberingAfterBreak="0">
    <w:nsid w:val="3FB3024B"/>
    <w:multiLevelType w:val="hybridMultilevel"/>
    <w:tmpl w:val="3B5C8E08"/>
    <w:lvl w:ilvl="0" w:tplc="61E4BC7E">
      <w:start w:val="1"/>
      <w:numFmt w:val="bullet"/>
      <w:lvlText w:val="•"/>
      <w:lvlJc w:val="left"/>
      <w:pPr>
        <w:tabs>
          <w:tab w:val="num" w:pos="720"/>
        </w:tabs>
        <w:ind w:left="720" w:hanging="360"/>
      </w:pPr>
      <w:rPr>
        <w:rFonts w:ascii="Times New Roman" w:hAnsi="Times New Roman" w:hint="default"/>
      </w:rPr>
    </w:lvl>
    <w:lvl w:ilvl="1" w:tplc="D8CCC786" w:tentative="1">
      <w:start w:val="1"/>
      <w:numFmt w:val="bullet"/>
      <w:lvlText w:val="•"/>
      <w:lvlJc w:val="left"/>
      <w:pPr>
        <w:tabs>
          <w:tab w:val="num" w:pos="1440"/>
        </w:tabs>
        <w:ind w:left="1440" w:hanging="360"/>
      </w:pPr>
      <w:rPr>
        <w:rFonts w:ascii="Times New Roman" w:hAnsi="Times New Roman" w:hint="default"/>
      </w:rPr>
    </w:lvl>
    <w:lvl w:ilvl="2" w:tplc="FB44197E" w:tentative="1">
      <w:start w:val="1"/>
      <w:numFmt w:val="bullet"/>
      <w:lvlText w:val="•"/>
      <w:lvlJc w:val="left"/>
      <w:pPr>
        <w:tabs>
          <w:tab w:val="num" w:pos="2160"/>
        </w:tabs>
        <w:ind w:left="2160" w:hanging="360"/>
      </w:pPr>
      <w:rPr>
        <w:rFonts w:ascii="Times New Roman" w:hAnsi="Times New Roman" w:hint="default"/>
      </w:rPr>
    </w:lvl>
    <w:lvl w:ilvl="3" w:tplc="5108000C" w:tentative="1">
      <w:start w:val="1"/>
      <w:numFmt w:val="bullet"/>
      <w:lvlText w:val="•"/>
      <w:lvlJc w:val="left"/>
      <w:pPr>
        <w:tabs>
          <w:tab w:val="num" w:pos="2880"/>
        </w:tabs>
        <w:ind w:left="2880" w:hanging="360"/>
      </w:pPr>
      <w:rPr>
        <w:rFonts w:ascii="Times New Roman" w:hAnsi="Times New Roman" w:hint="default"/>
      </w:rPr>
    </w:lvl>
    <w:lvl w:ilvl="4" w:tplc="3CD4E180" w:tentative="1">
      <w:start w:val="1"/>
      <w:numFmt w:val="bullet"/>
      <w:lvlText w:val="•"/>
      <w:lvlJc w:val="left"/>
      <w:pPr>
        <w:tabs>
          <w:tab w:val="num" w:pos="3600"/>
        </w:tabs>
        <w:ind w:left="3600" w:hanging="360"/>
      </w:pPr>
      <w:rPr>
        <w:rFonts w:ascii="Times New Roman" w:hAnsi="Times New Roman" w:hint="default"/>
      </w:rPr>
    </w:lvl>
    <w:lvl w:ilvl="5" w:tplc="B0287CB4" w:tentative="1">
      <w:start w:val="1"/>
      <w:numFmt w:val="bullet"/>
      <w:lvlText w:val="•"/>
      <w:lvlJc w:val="left"/>
      <w:pPr>
        <w:tabs>
          <w:tab w:val="num" w:pos="4320"/>
        </w:tabs>
        <w:ind w:left="4320" w:hanging="360"/>
      </w:pPr>
      <w:rPr>
        <w:rFonts w:ascii="Times New Roman" w:hAnsi="Times New Roman" w:hint="default"/>
      </w:rPr>
    </w:lvl>
    <w:lvl w:ilvl="6" w:tplc="935C9F5E" w:tentative="1">
      <w:start w:val="1"/>
      <w:numFmt w:val="bullet"/>
      <w:lvlText w:val="•"/>
      <w:lvlJc w:val="left"/>
      <w:pPr>
        <w:tabs>
          <w:tab w:val="num" w:pos="5040"/>
        </w:tabs>
        <w:ind w:left="5040" w:hanging="360"/>
      </w:pPr>
      <w:rPr>
        <w:rFonts w:ascii="Times New Roman" w:hAnsi="Times New Roman" w:hint="default"/>
      </w:rPr>
    </w:lvl>
    <w:lvl w:ilvl="7" w:tplc="575832DE" w:tentative="1">
      <w:start w:val="1"/>
      <w:numFmt w:val="bullet"/>
      <w:lvlText w:val="•"/>
      <w:lvlJc w:val="left"/>
      <w:pPr>
        <w:tabs>
          <w:tab w:val="num" w:pos="5760"/>
        </w:tabs>
        <w:ind w:left="5760" w:hanging="360"/>
      </w:pPr>
      <w:rPr>
        <w:rFonts w:ascii="Times New Roman" w:hAnsi="Times New Roman" w:hint="default"/>
      </w:rPr>
    </w:lvl>
    <w:lvl w:ilvl="8" w:tplc="D54A364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4722473"/>
    <w:multiLevelType w:val="multilevel"/>
    <w:tmpl w:val="0E321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E47646"/>
    <w:multiLevelType w:val="hybridMultilevel"/>
    <w:tmpl w:val="6B808F62"/>
    <w:lvl w:ilvl="0" w:tplc="E04AF85C">
      <w:start w:val="1"/>
      <w:numFmt w:val="bullet"/>
      <w:lvlText w:val="•"/>
      <w:lvlJc w:val="left"/>
      <w:pPr>
        <w:tabs>
          <w:tab w:val="num" w:pos="720"/>
        </w:tabs>
        <w:ind w:left="720" w:hanging="360"/>
      </w:pPr>
      <w:rPr>
        <w:rFonts w:ascii="Arial" w:hAnsi="Arial" w:hint="default"/>
      </w:rPr>
    </w:lvl>
    <w:lvl w:ilvl="1" w:tplc="87903A50" w:tentative="1">
      <w:start w:val="1"/>
      <w:numFmt w:val="bullet"/>
      <w:lvlText w:val="•"/>
      <w:lvlJc w:val="left"/>
      <w:pPr>
        <w:tabs>
          <w:tab w:val="num" w:pos="1440"/>
        </w:tabs>
        <w:ind w:left="1440" w:hanging="360"/>
      </w:pPr>
      <w:rPr>
        <w:rFonts w:ascii="Arial" w:hAnsi="Arial" w:hint="default"/>
      </w:rPr>
    </w:lvl>
    <w:lvl w:ilvl="2" w:tplc="5F98BCD4" w:tentative="1">
      <w:start w:val="1"/>
      <w:numFmt w:val="bullet"/>
      <w:lvlText w:val="•"/>
      <w:lvlJc w:val="left"/>
      <w:pPr>
        <w:tabs>
          <w:tab w:val="num" w:pos="2160"/>
        </w:tabs>
        <w:ind w:left="2160" w:hanging="360"/>
      </w:pPr>
      <w:rPr>
        <w:rFonts w:ascii="Arial" w:hAnsi="Arial" w:hint="default"/>
      </w:rPr>
    </w:lvl>
    <w:lvl w:ilvl="3" w:tplc="8722ACFE" w:tentative="1">
      <w:start w:val="1"/>
      <w:numFmt w:val="bullet"/>
      <w:lvlText w:val="•"/>
      <w:lvlJc w:val="left"/>
      <w:pPr>
        <w:tabs>
          <w:tab w:val="num" w:pos="2880"/>
        </w:tabs>
        <w:ind w:left="2880" w:hanging="360"/>
      </w:pPr>
      <w:rPr>
        <w:rFonts w:ascii="Arial" w:hAnsi="Arial" w:hint="default"/>
      </w:rPr>
    </w:lvl>
    <w:lvl w:ilvl="4" w:tplc="2654D7B6" w:tentative="1">
      <w:start w:val="1"/>
      <w:numFmt w:val="bullet"/>
      <w:lvlText w:val="•"/>
      <w:lvlJc w:val="left"/>
      <w:pPr>
        <w:tabs>
          <w:tab w:val="num" w:pos="3600"/>
        </w:tabs>
        <w:ind w:left="3600" w:hanging="360"/>
      </w:pPr>
      <w:rPr>
        <w:rFonts w:ascii="Arial" w:hAnsi="Arial" w:hint="default"/>
      </w:rPr>
    </w:lvl>
    <w:lvl w:ilvl="5" w:tplc="E25A1104" w:tentative="1">
      <w:start w:val="1"/>
      <w:numFmt w:val="bullet"/>
      <w:lvlText w:val="•"/>
      <w:lvlJc w:val="left"/>
      <w:pPr>
        <w:tabs>
          <w:tab w:val="num" w:pos="4320"/>
        </w:tabs>
        <w:ind w:left="4320" w:hanging="360"/>
      </w:pPr>
      <w:rPr>
        <w:rFonts w:ascii="Arial" w:hAnsi="Arial" w:hint="default"/>
      </w:rPr>
    </w:lvl>
    <w:lvl w:ilvl="6" w:tplc="4D96C836" w:tentative="1">
      <w:start w:val="1"/>
      <w:numFmt w:val="bullet"/>
      <w:lvlText w:val="•"/>
      <w:lvlJc w:val="left"/>
      <w:pPr>
        <w:tabs>
          <w:tab w:val="num" w:pos="5040"/>
        </w:tabs>
        <w:ind w:left="5040" w:hanging="360"/>
      </w:pPr>
      <w:rPr>
        <w:rFonts w:ascii="Arial" w:hAnsi="Arial" w:hint="default"/>
      </w:rPr>
    </w:lvl>
    <w:lvl w:ilvl="7" w:tplc="612A1636" w:tentative="1">
      <w:start w:val="1"/>
      <w:numFmt w:val="bullet"/>
      <w:lvlText w:val="•"/>
      <w:lvlJc w:val="left"/>
      <w:pPr>
        <w:tabs>
          <w:tab w:val="num" w:pos="5760"/>
        </w:tabs>
        <w:ind w:left="5760" w:hanging="360"/>
      </w:pPr>
      <w:rPr>
        <w:rFonts w:ascii="Arial" w:hAnsi="Arial" w:hint="default"/>
      </w:rPr>
    </w:lvl>
    <w:lvl w:ilvl="8" w:tplc="60A89F26" w:tentative="1">
      <w:start w:val="1"/>
      <w:numFmt w:val="bullet"/>
      <w:lvlText w:val="•"/>
      <w:lvlJc w:val="left"/>
      <w:pPr>
        <w:tabs>
          <w:tab w:val="num" w:pos="6480"/>
        </w:tabs>
        <w:ind w:left="6480" w:hanging="360"/>
      </w:pPr>
      <w:rPr>
        <w:rFonts w:ascii="Arial" w:hAnsi="Arial" w:hint="default"/>
      </w:rPr>
    </w:lvl>
  </w:abstractNum>
  <w:num w:numId="1" w16cid:durableId="1667702839">
    <w:abstractNumId w:val="5"/>
  </w:num>
  <w:num w:numId="2" w16cid:durableId="1545405077">
    <w:abstractNumId w:val="4"/>
  </w:num>
  <w:num w:numId="3" w16cid:durableId="128088002">
    <w:abstractNumId w:val="3"/>
  </w:num>
  <w:num w:numId="4" w16cid:durableId="17438422">
    <w:abstractNumId w:val="0"/>
  </w:num>
  <w:num w:numId="5" w16cid:durableId="593392909">
    <w:abstractNumId w:val="1"/>
  </w:num>
  <w:num w:numId="6" w16cid:durableId="243154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42"/>
    <w:rsid w:val="0000557A"/>
    <w:rsid w:val="00022D3D"/>
    <w:rsid w:val="0004469C"/>
    <w:rsid w:val="00085D5A"/>
    <w:rsid w:val="00094917"/>
    <w:rsid w:val="000C237A"/>
    <w:rsid w:val="000D18BA"/>
    <w:rsid w:val="000E010B"/>
    <w:rsid w:val="000F4732"/>
    <w:rsid w:val="00115F42"/>
    <w:rsid w:val="00133637"/>
    <w:rsid w:val="00147F3E"/>
    <w:rsid w:val="00154823"/>
    <w:rsid w:val="001C5974"/>
    <w:rsid w:val="001E4608"/>
    <w:rsid w:val="00203231"/>
    <w:rsid w:val="00203983"/>
    <w:rsid w:val="00214CDB"/>
    <w:rsid w:val="00220AC9"/>
    <w:rsid w:val="00246298"/>
    <w:rsid w:val="0027602D"/>
    <w:rsid w:val="0028034F"/>
    <w:rsid w:val="00296223"/>
    <w:rsid w:val="002C54BB"/>
    <w:rsid w:val="002E0FCF"/>
    <w:rsid w:val="002E2E0B"/>
    <w:rsid w:val="00326121"/>
    <w:rsid w:val="003471F7"/>
    <w:rsid w:val="00385226"/>
    <w:rsid w:val="003856F8"/>
    <w:rsid w:val="003A0C85"/>
    <w:rsid w:val="003C11FC"/>
    <w:rsid w:val="003E6DC0"/>
    <w:rsid w:val="00431037"/>
    <w:rsid w:val="00450CC3"/>
    <w:rsid w:val="00455097"/>
    <w:rsid w:val="00466546"/>
    <w:rsid w:val="004A608B"/>
    <w:rsid w:val="004C37B2"/>
    <w:rsid w:val="004E332E"/>
    <w:rsid w:val="00500197"/>
    <w:rsid w:val="00500426"/>
    <w:rsid w:val="00506A5B"/>
    <w:rsid w:val="00513CD2"/>
    <w:rsid w:val="00516918"/>
    <w:rsid w:val="00554370"/>
    <w:rsid w:val="0056443B"/>
    <w:rsid w:val="005737FA"/>
    <w:rsid w:val="00582C5D"/>
    <w:rsid w:val="005C1687"/>
    <w:rsid w:val="00600024"/>
    <w:rsid w:val="00605CF4"/>
    <w:rsid w:val="0062521A"/>
    <w:rsid w:val="006419C5"/>
    <w:rsid w:val="00672D91"/>
    <w:rsid w:val="006B6F42"/>
    <w:rsid w:val="006C2885"/>
    <w:rsid w:val="006E6A09"/>
    <w:rsid w:val="0071497C"/>
    <w:rsid w:val="00757ADF"/>
    <w:rsid w:val="00762D9B"/>
    <w:rsid w:val="007727F5"/>
    <w:rsid w:val="007C2C0A"/>
    <w:rsid w:val="007E4DF0"/>
    <w:rsid w:val="007F3117"/>
    <w:rsid w:val="008008ED"/>
    <w:rsid w:val="00814487"/>
    <w:rsid w:val="00834DD5"/>
    <w:rsid w:val="00874C89"/>
    <w:rsid w:val="00892DCE"/>
    <w:rsid w:val="008D4365"/>
    <w:rsid w:val="008F40B3"/>
    <w:rsid w:val="00905437"/>
    <w:rsid w:val="0091047D"/>
    <w:rsid w:val="00974FCC"/>
    <w:rsid w:val="009D43ED"/>
    <w:rsid w:val="009D7C42"/>
    <w:rsid w:val="00A7090E"/>
    <w:rsid w:val="00A725FE"/>
    <w:rsid w:val="00A96A4C"/>
    <w:rsid w:val="00B34D7E"/>
    <w:rsid w:val="00B3663E"/>
    <w:rsid w:val="00B408F5"/>
    <w:rsid w:val="00B5618B"/>
    <w:rsid w:val="00BA784F"/>
    <w:rsid w:val="00BC3434"/>
    <w:rsid w:val="00BF4E88"/>
    <w:rsid w:val="00C219BF"/>
    <w:rsid w:val="00C31970"/>
    <w:rsid w:val="00C34C2B"/>
    <w:rsid w:val="00C34F6D"/>
    <w:rsid w:val="00C53673"/>
    <w:rsid w:val="00C76C4B"/>
    <w:rsid w:val="00C77BDB"/>
    <w:rsid w:val="00CD110D"/>
    <w:rsid w:val="00D41F06"/>
    <w:rsid w:val="00D5104A"/>
    <w:rsid w:val="00D9146A"/>
    <w:rsid w:val="00DA035A"/>
    <w:rsid w:val="00DB2622"/>
    <w:rsid w:val="00DB6F88"/>
    <w:rsid w:val="00E024FB"/>
    <w:rsid w:val="00E07F39"/>
    <w:rsid w:val="00E23D87"/>
    <w:rsid w:val="00E71FAE"/>
    <w:rsid w:val="00E8447B"/>
    <w:rsid w:val="00ED1255"/>
    <w:rsid w:val="00EF4BA4"/>
    <w:rsid w:val="00F47DB1"/>
    <w:rsid w:val="00F926BF"/>
    <w:rsid w:val="00F93B9A"/>
    <w:rsid w:val="00FD2845"/>
    <w:rsid w:val="00FE35DA"/>
    <w:rsid w:val="00FE433C"/>
    <w:rsid w:val="00FF7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37C77"/>
  <w15:chartTrackingRefBased/>
  <w15:docId w15:val="{01C983D4-8E0E-4153-9599-3F133B1F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5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5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5F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5F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5F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5F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5F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5F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5F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F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15F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F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F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F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F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F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F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F42"/>
    <w:rPr>
      <w:rFonts w:eastAsiaTheme="majorEastAsia" w:cstheme="majorBidi"/>
      <w:color w:val="272727" w:themeColor="text1" w:themeTint="D8"/>
    </w:rPr>
  </w:style>
  <w:style w:type="paragraph" w:styleId="Title">
    <w:name w:val="Title"/>
    <w:basedOn w:val="Normal"/>
    <w:next w:val="Normal"/>
    <w:link w:val="TitleChar"/>
    <w:uiPriority w:val="10"/>
    <w:qFormat/>
    <w:rsid w:val="00115F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F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F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F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F42"/>
    <w:pPr>
      <w:spacing w:before="160"/>
      <w:jc w:val="center"/>
    </w:pPr>
    <w:rPr>
      <w:i/>
      <w:iCs/>
      <w:color w:val="404040" w:themeColor="text1" w:themeTint="BF"/>
    </w:rPr>
  </w:style>
  <w:style w:type="character" w:customStyle="1" w:styleId="QuoteChar">
    <w:name w:val="Quote Char"/>
    <w:basedOn w:val="DefaultParagraphFont"/>
    <w:link w:val="Quote"/>
    <w:uiPriority w:val="29"/>
    <w:rsid w:val="00115F42"/>
    <w:rPr>
      <w:i/>
      <w:iCs/>
      <w:color w:val="404040" w:themeColor="text1" w:themeTint="BF"/>
    </w:rPr>
  </w:style>
  <w:style w:type="paragraph" w:styleId="ListParagraph">
    <w:name w:val="List Paragraph"/>
    <w:basedOn w:val="Normal"/>
    <w:uiPriority w:val="34"/>
    <w:qFormat/>
    <w:rsid w:val="00115F42"/>
    <w:pPr>
      <w:ind w:left="720"/>
      <w:contextualSpacing/>
    </w:pPr>
  </w:style>
  <w:style w:type="character" w:styleId="IntenseEmphasis">
    <w:name w:val="Intense Emphasis"/>
    <w:basedOn w:val="DefaultParagraphFont"/>
    <w:uiPriority w:val="21"/>
    <w:qFormat/>
    <w:rsid w:val="00115F42"/>
    <w:rPr>
      <w:i/>
      <w:iCs/>
      <w:color w:val="0F4761" w:themeColor="accent1" w:themeShade="BF"/>
    </w:rPr>
  </w:style>
  <w:style w:type="paragraph" w:styleId="IntenseQuote">
    <w:name w:val="Intense Quote"/>
    <w:basedOn w:val="Normal"/>
    <w:next w:val="Normal"/>
    <w:link w:val="IntenseQuoteChar"/>
    <w:uiPriority w:val="30"/>
    <w:qFormat/>
    <w:rsid w:val="00115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5F42"/>
    <w:rPr>
      <w:i/>
      <w:iCs/>
      <w:color w:val="0F4761" w:themeColor="accent1" w:themeShade="BF"/>
    </w:rPr>
  </w:style>
  <w:style w:type="character" w:styleId="IntenseReference">
    <w:name w:val="Intense Reference"/>
    <w:basedOn w:val="DefaultParagraphFont"/>
    <w:uiPriority w:val="32"/>
    <w:qFormat/>
    <w:rsid w:val="00115F42"/>
    <w:rPr>
      <w:b/>
      <w:bCs/>
      <w:smallCaps/>
      <w:color w:val="0F4761" w:themeColor="accent1" w:themeShade="BF"/>
      <w:spacing w:val="5"/>
    </w:rPr>
  </w:style>
  <w:style w:type="character" w:styleId="Hyperlink">
    <w:name w:val="Hyperlink"/>
    <w:basedOn w:val="DefaultParagraphFont"/>
    <w:uiPriority w:val="99"/>
    <w:unhideWhenUsed/>
    <w:rsid w:val="00FF7E29"/>
    <w:rPr>
      <w:color w:val="467886" w:themeColor="hyperlink"/>
      <w:u w:val="single"/>
    </w:rPr>
  </w:style>
  <w:style w:type="character" w:customStyle="1" w:styleId="UnresolvedMention1">
    <w:name w:val="Unresolved Mention1"/>
    <w:basedOn w:val="DefaultParagraphFont"/>
    <w:uiPriority w:val="99"/>
    <w:semiHidden/>
    <w:unhideWhenUsed/>
    <w:rsid w:val="00FF7E29"/>
    <w:rPr>
      <w:color w:val="605E5C"/>
      <w:shd w:val="clear" w:color="auto" w:fill="E1DFDD"/>
    </w:rPr>
  </w:style>
  <w:style w:type="paragraph" w:styleId="Header">
    <w:name w:val="header"/>
    <w:basedOn w:val="Normal"/>
    <w:link w:val="HeaderChar"/>
    <w:uiPriority w:val="99"/>
    <w:unhideWhenUsed/>
    <w:rsid w:val="002C5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4BB"/>
  </w:style>
  <w:style w:type="paragraph" w:styleId="Footer">
    <w:name w:val="footer"/>
    <w:basedOn w:val="Normal"/>
    <w:link w:val="FooterChar"/>
    <w:uiPriority w:val="99"/>
    <w:unhideWhenUsed/>
    <w:rsid w:val="002C5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4BB"/>
  </w:style>
  <w:style w:type="paragraph" w:styleId="Revision">
    <w:name w:val="Revision"/>
    <w:hidden/>
    <w:uiPriority w:val="99"/>
    <w:semiHidden/>
    <w:rsid w:val="005C16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nema.gov.au/about-us/policies/strategies-and-frameworks/disaster-risk-reduc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4EBDBB-4C9E-4344-B6BB-4FA0440C6136}" type="doc">
      <dgm:prSet loTypeId="urn:microsoft.com/office/officeart/2005/8/layout/hierarchy2#1" loCatId="hierarchy" qsTypeId="urn:microsoft.com/office/officeart/2005/8/quickstyle/simple1" qsCatId="simple" csTypeId="urn:microsoft.com/office/officeart/2005/8/colors/accent1_2" csCatId="accent1" phldr="1"/>
      <dgm:spPr/>
      <dgm:t>
        <a:bodyPr/>
        <a:lstStyle/>
        <a:p>
          <a:endParaRPr lang="en-US"/>
        </a:p>
      </dgm:t>
    </dgm:pt>
    <dgm:pt modelId="{02D4C5AE-7CDF-4236-843B-31C8FBB14B9B}">
      <dgm:prSet phldrT="[Text]" custT="1"/>
      <dgm:spPr>
        <a:xfrm>
          <a:off x="0" y="595059"/>
          <a:ext cx="1432112" cy="1431160"/>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0">
            <a:buNone/>
          </a:pPr>
          <a:r>
            <a:rPr lang="en-AU" sz="1200" b="1">
              <a:solidFill>
                <a:sysClr val="window" lastClr="FFFFFF"/>
              </a:solidFill>
              <a:latin typeface="Arial" panose="020B0604020202020204" pitchFamily="34" charset="0"/>
              <a:ea typeface="+mn-ea"/>
              <a:cs typeface="Arial" panose="020B0604020202020204" pitchFamily="34" charset="0"/>
            </a:rPr>
            <a:t>Khung Sendai về Giảm thiểu Rủi ro</a:t>
          </a:r>
        </a:p>
        <a:p>
          <a:pPr>
            <a:buNone/>
          </a:pPr>
          <a:endParaRPr lang="en-AU" sz="1200" b="1">
            <a:solidFill>
              <a:sysClr val="window" lastClr="FFFFFF"/>
            </a:solidFill>
            <a:latin typeface="Arial" panose="020B0604020202020204" pitchFamily="34" charset="0"/>
            <a:ea typeface="+mn-ea"/>
            <a:cs typeface="Arial" panose="020B0604020202020204" pitchFamily="34" charset="0"/>
          </a:endParaRPr>
        </a:p>
        <a:p>
          <a:pPr>
            <a:buNone/>
          </a:pPr>
          <a:r>
            <a:rPr lang="en-US" sz="1200" b="1">
              <a:solidFill>
                <a:sysClr val="window" lastClr="FFFFFF"/>
              </a:solidFill>
              <a:latin typeface="Arial" panose="020B0604020202020204" pitchFamily="34" charset="0"/>
              <a:ea typeface="+mn-ea"/>
              <a:cs typeface="Arial" panose="020B0604020202020204" pitchFamily="34" charset="0"/>
            </a:rPr>
            <a:t>2015-2030 </a:t>
          </a:r>
        </a:p>
      </dgm:t>
    </dgm:pt>
    <dgm:pt modelId="{671A9978-292A-4A8C-B4B9-C45B029E2C73}" type="parTrans" cxnId="{713D1BAE-3C38-46D5-8B38-6FE70670FF67}">
      <dgm:prSet/>
      <dgm:spPr/>
      <dgm:t>
        <a:bodyPr/>
        <a:lstStyle/>
        <a:p>
          <a:endParaRPr lang="en-US"/>
        </a:p>
      </dgm:t>
    </dgm:pt>
    <dgm:pt modelId="{CC9ED4BA-A6FC-4BDD-98D8-A1E6C3152AC2}" type="sibTrans" cxnId="{713D1BAE-3C38-46D5-8B38-6FE70670FF67}">
      <dgm:prSet/>
      <dgm:spPr/>
      <dgm:t>
        <a:bodyPr/>
        <a:lstStyle/>
        <a:p>
          <a:endParaRPr lang="en-US"/>
        </a:p>
      </dgm:t>
    </dgm:pt>
    <dgm:pt modelId="{D26AFC5F-14ED-4A7F-B360-635299D5AED6}">
      <dgm:prSet phldrT="[Text]" custT="1"/>
      <dgm:spPr>
        <a:xfrm>
          <a:off x="3977821" y="595059"/>
          <a:ext cx="1432112" cy="1431160"/>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a:solidFill>
                <a:sysClr val="window" lastClr="FFFFFF"/>
              </a:solidFill>
              <a:latin typeface="Arial" panose="020B0604020202020204" pitchFamily="34" charset="0"/>
              <a:ea typeface="+mn-ea"/>
              <a:cs typeface="Arial" panose="020B0604020202020204" pitchFamily="34" charset="0"/>
            </a:rPr>
            <a:t>Tiêu chuẩn Thực hành NDIS cho </a:t>
          </a:r>
        </a:p>
        <a:p>
          <a:pPr>
            <a:buNone/>
          </a:pPr>
          <a:r>
            <a:rPr lang="en-AU" sz="1200" b="1">
              <a:solidFill>
                <a:sysClr val="window" lastClr="FFFFFF"/>
              </a:solidFill>
              <a:latin typeface="Arial" panose="020B0604020202020204" pitchFamily="34" charset="0"/>
              <a:ea typeface="+mn-ea"/>
              <a:cs typeface="Arial" panose="020B0604020202020204" pitchFamily="34" charset="0"/>
            </a:rPr>
            <a:t>Quản lý Thảm họa và Trường hợp </a:t>
          </a:r>
        </a:p>
        <a:p>
          <a:pPr>
            <a:buNone/>
          </a:pPr>
          <a:r>
            <a:rPr lang="en-AU" sz="1200" b="1">
              <a:solidFill>
                <a:sysClr val="window" lastClr="FFFFFF"/>
              </a:solidFill>
              <a:latin typeface="Arial" panose="020B0604020202020204" pitchFamily="34" charset="0"/>
              <a:ea typeface="+mn-ea"/>
              <a:cs typeface="Arial" panose="020B0604020202020204" pitchFamily="34" charset="0"/>
            </a:rPr>
            <a:t>Khẩn cấp
Nghĩa vụ WHS</a:t>
          </a:r>
          <a:endParaRPr lang="en-US" sz="1200" b="1">
            <a:solidFill>
              <a:sysClr val="window" lastClr="FFFFFF"/>
            </a:solidFill>
            <a:latin typeface="Arial" panose="020B0604020202020204" pitchFamily="34" charset="0"/>
            <a:ea typeface="+mn-ea"/>
            <a:cs typeface="Arial" panose="020B0604020202020204" pitchFamily="34" charset="0"/>
          </a:endParaRPr>
        </a:p>
      </dgm:t>
    </dgm:pt>
    <dgm:pt modelId="{A51CC7E1-3323-4EBE-876B-7F56C5C4E05F}" type="parTrans" cxnId="{2559AA15-130E-4406-8FAC-0382B155C593}">
      <dgm:prSet/>
      <dgm:spPr>
        <a:xfrm>
          <a:off x="3404976" y="1286054"/>
          <a:ext cx="572845" cy="49170"/>
        </a:xfrm>
        <a:custGeom>
          <a:avLst/>
          <a:gdLst/>
          <a:ahLst/>
          <a:cxnLst/>
          <a:rect l="0" t="0" r="0" b="0"/>
          <a:pathLst>
            <a:path>
              <a:moveTo>
                <a:pt x="0" y="24585"/>
              </a:moveTo>
              <a:lnTo>
                <a:pt x="572845" y="24585"/>
              </a:lnTo>
            </a:path>
          </a:pathLst>
        </a:custGeom>
        <a:noFill/>
        <a:ln w="12700" cap="flat" cmpd="sng" algn="ctr">
          <a:solidFill>
            <a:srgbClr val="156082">
              <a:shade val="80000"/>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Aptos" panose="02110004020202020204"/>
            <a:ea typeface="+mn-ea"/>
            <a:cs typeface="+mn-cs"/>
          </a:endParaRPr>
        </a:p>
      </dgm:t>
    </dgm:pt>
    <dgm:pt modelId="{C0DBB13A-AF08-46C9-AD4B-E7E8B3F4AC28}" type="sibTrans" cxnId="{2559AA15-130E-4406-8FAC-0382B155C593}">
      <dgm:prSet/>
      <dgm:spPr/>
      <dgm:t>
        <a:bodyPr/>
        <a:lstStyle/>
        <a:p>
          <a:endParaRPr lang="en-US"/>
        </a:p>
      </dgm:t>
    </dgm:pt>
    <dgm:pt modelId="{433ECCE0-F9C8-4C24-9F07-CA77DCFD03BF}">
      <dgm:prSet phldrT="[Text]" custT="1"/>
      <dgm:spPr>
        <a:xfrm>
          <a:off x="1972863" y="595059"/>
          <a:ext cx="1432112" cy="1431160"/>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a:solidFill>
                <a:sysClr val="window" lastClr="FFFFFF"/>
              </a:solidFill>
              <a:latin typeface="Arial" panose="020B0604020202020204" pitchFamily="34" charset="0"/>
              <a:ea typeface="+mn-ea"/>
              <a:cs typeface="Arial" panose="020B0604020202020204" pitchFamily="34" charset="0"/>
            </a:rPr>
            <a:t>Khung Giảm thiểu Rủi ro Thiên tai </a:t>
          </a:r>
        </a:p>
        <a:p>
          <a:pPr>
            <a:buNone/>
          </a:pPr>
          <a:r>
            <a:rPr lang="en-AU" sz="1200" b="1">
              <a:solidFill>
                <a:sysClr val="window" lastClr="FFFFFF"/>
              </a:solidFill>
              <a:latin typeface="Arial" panose="020B0604020202020204" pitchFamily="34" charset="0"/>
              <a:ea typeface="+mn-ea"/>
              <a:cs typeface="Arial" panose="020B0604020202020204" pitchFamily="34" charset="0"/>
            </a:rPr>
            <a:t>Quốc gia</a:t>
          </a:r>
          <a:endParaRPr lang="en-US" sz="1200" b="1">
            <a:solidFill>
              <a:sysClr val="window" lastClr="FFFFFF"/>
            </a:solidFill>
            <a:latin typeface="Arial" panose="020B0604020202020204" pitchFamily="34" charset="0"/>
            <a:ea typeface="+mn-ea"/>
            <a:cs typeface="Arial" panose="020B0604020202020204" pitchFamily="34" charset="0"/>
          </a:endParaRPr>
        </a:p>
      </dgm:t>
    </dgm:pt>
    <dgm:pt modelId="{2CBCF42C-28F1-4E2E-A836-897FCC4DFC66}" type="sibTrans" cxnId="{3C556844-7AC8-4BF3-82D1-7A3F0103C3C7}">
      <dgm:prSet/>
      <dgm:spPr/>
      <dgm:t>
        <a:bodyPr/>
        <a:lstStyle/>
        <a:p>
          <a:endParaRPr lang="en-US"/>
        </a:p>
      </dgm:t>
    </dgm:pt>
    <dgm:pt modelId="{6D5A4C7A-1E05-4C1D-8796-8CEDB626A78F}" type="parTrans" cxnId="{3C556844-7AC8-4BF3-82D1-7A3F0103C3C7}">
      <dgm:prSet/>
      <dgm:spPr>
        <a:xfrm>
          <a:off x="1432112" y="1286054"/>
          <a:ext cx="540751" cy="49170"/>
        </a:xfrm>
        <a:custGeom>
          <a:avLst/>
          <a:gdLst/>
          <a:ahLst/>
          <a:cxnLst/>
          <a:rect l="0" t="0" r="0" b="0"/>
          <a:pathLst>
            <a:path>
              <a:moveTo>
                <a:pt x="0" y="24585"/>
              </a:moveTo>
              <a:lnTo>
                <a:pt x="540751" y="24585"/>
              </a:lnTo>
            </a:path>
          </a:pathLst>
        </a:custGeom>
        <a:noFill/>
        <a:ln w="12700" cap="flat" cmpd="sng" algn="ctr">
          <a:solidFill>
            <a:srgbClr val="156082">
              <a:shade val="60000"/>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Aptos" panose="02110004020202020204"/>
            <a:ea typeface="+mn-ea"/>
            <a:cs typeface="+mn-cs"/>
          </a:endParaRPr>
        </a:p>
      </dgm:t>
    </dgm:pt>
    <dgm:pt modelId="{3606A2E4-2EAF-4CCE-ABB4-61A0312A2307}" type="pres">
      <dgm:prSet presAssocID="{184EBDBB-4C9E-4344-B6BB-4FA0440C6136}" presName="diagram" presStyleCnt="0">
        <dgm:presLayoutVars>
          <dgm:chPref val="1"/>
          <dgm:dir/>
          <dgm:animOne val="branch"/>
          <dgm:animLvl val="lvl"/>
          <dgm:resizeHandles val="exact"/>
        </dgm:presLayoutVars>
      </dgm:prSet>
      <dgm:spPr/>
    </dgm:pt>
    <dgm:pt modelId="{7BA622A8-AEF0-4A51-BF5D-283F7B3B0391}" type="pres">
      <dgm:prSet presAssocID="{02D4C5AE-7CDF-4236-843B-31C8FBB14B9B}" presName="root1" presStyleCnt="0"/>
      <dgm:spPr/>
    </dgm:pt>
    <dgm:pt modelId="{940D711F-4FA8-4690-900D-F460BEE49ECE}" type="pres">
      <dgm:prSet presAssocID="{02D4C5AE-7CDF-4236-843B-31C8FBB14B9B}" presName="LevelOneTextNode" presStyleLbl="node0" presStyleIdx="0" presStyleCnt="1" custScaleY="199867" custLinFactNeighborX="-1096">
        <dgm:presLayoutVars>
          <dgm:chPref val="3"/>
        </dgm:presLayoutVars>
      </dgm:prSet>
      <dgm:spPr/>
    </dgm:pt>
    <dgm:pt modelId="{340FA2B1-B452-4F28-8A08-BCB22FA4415A}" type="pres">
      <dgm:prSet presAssocID="{02D4C5AE-7CDF-4236-843B-31C8FBB14B9B}" presName="level2hierChild" presStyleCnt="0"/>
      <dgm:spPr/>
    </dgm:pt>
    <dgm:pt modelId="{ED1EF01D-9B67-4BBF-8C6A-9914DEADDFDD}" type="pres">
      <dgm:prSet presAssocID="{6D5A4C7A-1E05-4C1D-8796-8CEDB626A78F}" presName="conn2-1" presStyleLbl="parChTrans1D2" presStyleIdx="0" presStyleCnt="1"/>
      <dgm:spPr/>
    </dgm:pt>
    <dgm:pt modelId="{7BE6CFE2-1559-4C07-B649-8BCF90441937}" type="pres">
      <dgm:prSet presAssocID="{6D5A4C7A-1E05-4C1D-8796-8CEDB626A78F}" presName="connTx" presStyleLbl="parChTrans1D2" presStyleIdx="0" presStyleCnt="1"/>
      <dgm:spPr/>
    </dgm:pt>
    <dgm:pt modelId="{CD13E656-8F4C-4280-9D7C-13F92439F674}" type="pres">
      <dgm:prSet presAssocID="{433ECCE0-F9C8-4C24-9F07-CA77DCFD03BF}" presName="root2" presStyleCnt="0"/>
      <dgm:spPr/>
    </dgm:pt>
    <dgm:pt modelId="{E95806AA-07FA-4145-9F5F-E5F1240919BC}" type="pres">
      <dgm:prSet presAssocID="{433ECCE0-F9C8-4C24-9F07-CA77DCFD03BF}" presName="LevelTwoTextNode" presStyleLbl="node2" presStyleIdx="0" presStyleCnt="1" custScaleY="199867" custLinFactNeighborX="-2460">
        <dgm:presLayoutVars>
          <dgm:chPref val="3"/>
        </dgm:presLayoutVars>
      </dgm:prSet>
      <dgm:spPr/>
    </dgm:pt>
    <dgm:pt modelId="{4C5126F0-71E2-496B-841C-7047820D5F93}" type="pres">
      <dgm:prSet presAssocID="{433ECCE0-F9C8-4C24-9F07-CA77DCFD03BF}" presName="level3hierChild" presStyleCnt="0"/>
      <dgm:spPr/>
    </dgm:pt>
    <dgm:pt modelId="{A20474EB-FDB7-4AA2-B2BC-D7E4AF65A521}" type="pres">
      <dgm:prSet presAssocID="{A51CC7E1-3323-4EBE-876B-7F56C5C4E05F}" presName="conn2-1" presStyleLbl="parChTrans1D3" presStyleIdx="0" presStyleCnt="1"/>
      <dgm:spPr/>
    </dgm:pt>
    <dgm:pt modelId="{78DD6FD6-AD51-4244-ACCB-0BA8589AF1A4}" type="pres">
      <dgm:prSet presAssocID="{A51CC7E1-3323-4EBE-876B-7F56C5C4E05F}" presName="connTx" presStyleLbl="parChTrans1D3" presStyleIdx="0" presStyleCnt="1"/>
      <dgm:spPr/>
    </dgm:pt>
    <dgm:pt modelId="{3522B871-F2D3-4834-86B0-90066E3CBECD}" type="pres">
      <dgm:prSet presAssocID="{D26AFC5F-14ED-4A7F-B360-635299D5AED6}" presName="root2" presStyleCnt="0"/>
      <dgm:spPr/>
    </dgm:pt>
    <dgm:pt modelId="{078EF66F-B650-402B-B7D5-860B6F500CB0}" type="pres">
      <dgm:prSet presAssocID="{D26AFC5F-14ED-4A7F-B360-635299D5AED6}" presName="LevelTwoTextNode" presStyleLbl="node3" presStyleIdx="0" presStyleCnt="1" custScaleY="199867" custLinFactNeighborX="-2460">
        <dgm:presLayoutVars>
          <dgm:chPref val="3"/>
        </dgm:presLayoutVars>
      </dgm:prSet>
      <dgm:spPr/>
    </dgm:pt>
    <dgm:pt modelId="{903B6BDC-747C-4CC5-A163-2F179B8ACE47}" type="pres">
      <dgm:prSet presAssocID="{D26AFC5F-14ED-4A7F-B360-635299D5AED6}" presName="level3hierChild" presStyleCnt="0"/>
      <dgm:spPr/>
    </dgm:pt>
  </dgm:ptLst>
  <dgm:cxnLst>
    <dgm:cxn modelId="{0F89EB0B-04BC-42B7-B888-48026B60F2A5}" type="presOf" srcId="{184EBDBB-4C9E-4344-B6BB-4FA0440C6136}" destId="{3606A2E4-2EAF-4CCE-ABB4-61A0312A2307}" srcOrd="0" destOrd="0" presId="urn:microsoft.com/office/officeart/2005/8/layout/hierarchy2#1"/>
    <dgm:cxn modelId="{2559AA15-130E-4406-8FAC-0382B155C593}" srcId="{433ECCE0-F9C8-4C24-9F07-CA77DCFD03BF}" destId="{D26AFC5F-14ED-4A7F-B360-635299D5AED6}" srcOrd="0" destOrd="0" parTransId="{A51CC7E1-3323-4EBE-876B-7F56C5C4E05F}" sibTransId="{C0DBB13A-AF08-46C9-AD4B-E7E8B3F4AC28}"/>
    <dgm:cxn modelId="{B040C63A-00DE-4EF9-BB83-B89D944EDCCF}" type="presOf" srcId="{6D5A4C7A-1E05-4C1D-8796-8CEDB626A78F}" destId="{ED1EF01D-9B67-4BBF-8C6A-9914DEADDFDD}" srcOrd="0" destOrd="0" presId="urn:microsoft.com/office/officeart/2005/8/layout/hierarchy2#1"/>
    <dgm:cxn modelId="{511DBC3C-2DEA-4CAB-A04C-ABBE22F47356}" type="presOf" srcId="{433ECCE0-F9C8-4C24-9F07-CA77DCFD03BF}" destId="{E95806AA-07FA-4145-9F5F-E5F1240919BC}" srcOrd="0" destOrd="0" presId="urn:microsoft.com/office/officeart/2005/8/layout/hierarchy2#1"/>
    <dgm:cxn modelId="{3C556844-7AC8-4BF3-82D1-7A3F0103C3C7}" srcId="{02D4C5AE-7CDF-4236-843B-31C8FBB14B9B}" destId="{433ECCE0-F9C8-4C24-9F07-CA77DCFD03BF}" srcOrd="0" destOrd="0" parTransId="{6D5A4C7A-1E05-4C1D-8796-8CEDB626A78F}" sibTransId="{2CBCF42C-28F1-4E2E-A836-897FCC4DFC66}"/>
    <dgm:cxn modelId="{89FAA873-BFF2-478D-949B-827E2EAE14E2}" type="presOf" srcId="{02D4C5AE-7CDF-4236-843B-31C8FBB14B9B}" destId="{940D711F-4FA8-4690-900D-F460BEE49ECE}" srcOrd="0" destOrd="0" presId="urn:microsoft.com/office/officeart/2005/8/layout/hierarchy2#1"/>
    <dgm:cxn modelId="{2706A6A9-0814-4623-9384-B2F6546214AD}" type="presOf" srcId="{D26AFC5F-14ED-4A7F-B360-635299D5AED6}" destId="{078EF66F-B650-402B-B7D5-860B6F500CB0}" srcOrd="0" destOrd="0" presId="urn:microsoft.com/office/officeart/2005/8/layout/hierarchy2#1"/>
    <dgm:cxn modelId="{713D1BAE-3C38-46D5-8B38-6FE70670FF67}" srcId="{184EBDBB-4C9E-4344-B6BB-4FA0440C6136}" destId="{02D4C5AE-7CDF-4236-843B-31C8FBB14B9B}" srcOrd="0" destOrd="0" parTransId="{671A9978-292A-4A8C-B4B9-C45B029E2C73}" sibTransId="{CC9ED4BA-A6FC-4BDD-98D8-A1E6C3152AC2}"/>
    <dgm:cxn modelId="{207DD3B4-6808-43B2-9F63-C02085F49C53}" type="presOf" srcId="{6D5A4C7A-1E05-4C1D-8796-8CEDB626A78F}" destId="{7BE6CFE2-1559-4C07-B649-8BCF90441937}" srcOrd="1" destOrd="0" presId="urn:microsoft.com/office/officeart/2005/8/layout/hierarchy2#1"/>
    <dgm:cxn modelId="{97CAD9B7-D04A-4DC7-9F0F-1C69EF6FB366}" type="presOf" srcId="{A51CC7E1-3323-4EBE-876B-7F56C5C4E05F}" destId="{A20474EB-FDB7-4AA2-B2BC-D7E4AF65A521}" srcOrd="0" destOrd="0" presId="urn:microsoft.com/office/officeart/2005/8/layout/hierarchy2#1"/>
    <dgm:cxn modelId="{A39D58E7-76FE-42AD-A114-9AA6EEF227C9}" type="presOf" srcId="{A51CC7E1-3323-4EBE-876B-7F56C5C4E05F}" destId="{78DD6FD6-AD51-4244-ACCB-0BA8589AF1A4}" srcOrd="1" destOrd="0" presId="urn:microsoft.com/office/officeart/2005/8/layout/hierarchy2#1"/>
    <dgm:cxn modelId="{550D5952-D24F-4B7A-AFE2-92638BD6D4A6}" type="presParOf" srcId="{3606A2E4-2EAF-4CCE-ABB4-61A0312A2307}" destId="{7BA622A8-AEF0-4A51-BF5D-283F7B3B0391}" srcOrd="0" destOrd="0" presId="urn:microsoft.com/office/officeart/2005/8/layout/hierarchy2#1"/>
    <dgm:cxn modelId="{5099ADFE-A1BF-458C-B2F3-15076892DD88}" type="presParOf" srcId="{7BA622A8-AEF0-4A51-BF5D-283F7B3B0391}" destId="{940D711F-4FA8-4690-900D-F460BEE49ECE}" srcOrd="0" destOrd="0" presId="urn:microsoft.com/office/officeart/2005/8/layout/hierarchy2#1"/>
    <dgm:cxn modelId="{CB9DB43A-BAA0-4651-A496-046C63BCBD9C}" type="presParOf" srcId="{7BA622A8-AEF0-4A51-BF5D-283F7B3B0391}" destId="{340FA2B1-B452-4F28-8A08-BCB22FA4415A}" srcOrd="1" destOrd="0" presId="urn:microsoft.com/office/officeart/2005/8/layout/hierarchy2#1"/>
    <dgm:cxn modelId="{3364E597-BC15-45C5-A1A6-10C2C65D7472}" type="presParOf" srcId="{340FA2B1-B452-4F28-8A08-BCB22FA4415A}" destId="{ED1EF01D-9B67-4BBF-8C6A-9914DEADDFDD}" srcOrd="0" destOrd="0" presId="urn:microsoft.com/office/officeart/2005/8/layout/hierarchy2#1"/>
    <dgm:cxn modelId="{87636600-003E-4A30-BC34-F7259A0D22C3}" type="presParOf" srcId="{ED1EF01D-9B67-4BBF-8C6A-9914DEADDFDD}" destId="{7BE6CFE2-1559-4C07-B649-8BCF90441937}" srcOrd="0" destOrd="0" presId="urn:microsoft.com/office/officeart/2005/8/layout/hierarchy2#1"/>
    <dgm:cxn modelId="{B4480A46-3799-4F48-9E60-FFF748820CBF}" type="presParOf" srcId="{340FA2B1-B452-4F28-8A08-BCB22FA4415A}" destId="{CD13E656-8F4C-4280-9D7C-13F92439F674}" srcOrd="1" destOrd="0" presId="urn:microsoft.com/office/officeart/2005/8/layout/hierarchy2#1"/>
    <dgm:cxn modelId="{8557E458-FB13-457F-9FB3-99A02306EB5E}" type="presParOf" srcId="{CD13E656-8F4C-4280-9D7C-13F92439F674}" destId="{E95806AA-07FA-4145-9F5F-E5F1240919BC}" srcOrd="0" destOrd="0" presId="urn:microsoft.com/office/officeart/2005/8/layout/hierarchy2#1"/>
    <dgm:cxn modelId="{4C587EE0-A2AD-430D-8ECE-969D2032FF32}" type="presParOf" srcId="{CD13E656-8F4C-4280-9D7C-13F92439F674}" destId="{4C5126F0-71E2-496B-841C-7047820D5F93}" srcOrd="1" destOrd="0" presId="urn:microsoft.com/office/officeart/2005/8/layout/hierarchy2#1"/>
    <dgm:cxn modelId="{473BCE46-7556-4422-8660-DDC44FDDB1DF}" type="presParOf" srcId="{4C5126F0-71E2-496B-841C-7047820D5F93}" destId="{A20474EB-FDB7-4AA2-B2BC-D7E4AF65A521}" srcOrd="0" destOrd="0" presId="urn:microsoft.com/office/officeart/2005/8/layout/hierarchy2#1"/>
    <dgm:cxn modelId="{51424641-E0EF-4C17-A2AF-B7F7F47584E3}" type="presParOf" srcId="{A20474EB-FDB7-4AA2-B2BC-D7E4AF65A521}" destId="{78DD6FD6-AD51-4244-ACCB-0BA8589AF1A4}" srcOrd="0" destOrd="0" presId="urn:microsoft.com/office/officeart/2005/8/layout/hierarchy2#1"/>
    <dgm:cxn modelId="{9B099C01-741C-435B-9348-8E4E190D6151}" type="presParOf" srcId="{4C5126F0-71E2-496B-841C-7047820D5F93}" destId="{3522B871-F2D3-4834-86B0-90066E3CBECD}" srcOrd="1" destOrd="0" presId="urn:microsoft.com/office/officeart/2005/8/layout/hierarchy2#1"/>
    <dgm:cxn modelId="{C9BDF1FC-6467-4D2E-94BB-8933123B41F1}" type="presParOf" srcId="{3522B871-F2D3-4834-86B0-90066E3CBECD}" destId="{078EF66F-B650-402B-B7D5-860B6F500CB0}" srcOrd="0" destOrd="0" presId="urn:microsoft.com/office/officeart/2005/8/layout/hierarchy2#1"/>
    <dgm:cxn modelId="{CCC282E8-FD3C-42A7-8C68-27C37853FE8D}" type="presParOf" srcId="{3522B871-F2D3-4834-86B0-90066E3CBECD}" destId="{903B6BDC-747C-4CC5-A163-2F179B8ACE47}" srcOrd="1" destOrd="0" presId="urn:microsoft.com/office/officeart/2005/8/layout/hierarchy2#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0D711F-4FA8-4690-900D-F460BEE49ECE}">
      <dsp:nvSpPr>
        <dsp:cNvPr id="0" name=""/>
        <dsp:cNvSpPr/>
      </dsp:nvSpPr>
      <dsp:spPr>
        <a:xfrm>
          <a:off x="0" y="425091"/>
          <a:ext cx="1459648" cy="1458677"/>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en-AU" sz="1200" b="1" kern="1200">
              <a:solidFill>
                <a:sysClr val="window" lastClr="FFFFFF"/>
              </a:solidFill>
              <a:latin typeface="Arial" panose="020B0604020202020204" pitchFamily="34" charset="0"/>
              <a:ea typeface="+mn-ea"/>
              <a:cs typeface="Arial" panose="020B0604020202020204" pitchFamily="34" charset="0"/>
            </a:rPr>
            <a:t>Khung Sendai về Giảm thiểu Rủi ro</a:t>
          </a:r>
        </a:p>
        <a:p>
          <a:pPr marL="0" lvl="0" indent="0" algn="ctr" defTabSz="533400">
            <a:lnSpc>
              <a:spcPct val="90000"/>
            </a:lnSpc>
            <a:spcBef>
              <a:spcPct val="0"/>
            </a:spcBef>
            <a:spcAft>
              <a:spcPct val="35000"/>
            </a:spcAft>
            <a:buNone/>
          </a:pPr>
          <a:endParaRPr lang="en-AU" sz="1200" b="1" kern="1200">
            <a:solidFill>
              <a:sysClr val="window" lastClr="FFFFFF"/>
            </a:solidFill>
            <a:latin typeface="Arial" panose="020B0604020202020204" pitchFamily="34" charset="0"/>
            <a:ea typeface="+mn-ea"/>
            <a:cs typeface="Arial" panose="020B0604020202020204" pitchFamily="34" charset="0"/>
          </a:endParaRPr>
        </a:p>
        <a:p>
          <a:pPr marL="0" lvl="0" indent="0" algn="ctr" defTabSz="533400">
            <a:lnSpc>
              <a:spcPct val="90000"/>
            </a:lnSpc>
            <a:spcBef>
              <a:spcPct val="0"/>
            </a:spcBef>
            <a:spcAft>
              <a:spcPct val="35000"/>
            </a:spcAft>
            <a:buNone/>
          </a:pPr>
          <a:r>
            <a:rPr lang="en-US" sz="1200" b="1" kern="1200">
              <a:solidFill>
                <a:sysClr val="window" lastClr="FFFFFF"/>
              </a:solidFill>
              <a:latin typeface="Arial" panose="020B0604020202020204" pitchFamily="34" charset="0"/>
              <a:ea typeface="+mn-ea"/>
              <a:cs typeface="Arial" panose="020B0604020202020204" pitchFamily="34" charset="0"/>
            </a:rPr>
            <a:t>2015-2030 </a:t>
          </a:r>
        </a:p>
      </dsp:txBody>
      <dsp:txXfrm>
        <a:off x="42723" y="467814"/>
        <a:ext cx="1374202" cy="1373231"/>
      </dsp:txXfrm>
    </dsp:sp>
    <dsp:sp modelId="{ED1EF01D-9B67-4BBF-8C6A-9914DEADDFDD}">
      <dsp:nvSpPr>
        <dsp:cNvPr id="0" name=""/>
        <dsp:cNvSpPr/>
      </dsp:nvSpPr>
      <dsp:spPr>
        <a:xfrm>
          <a:off x="1459648" y="1125981"/>
          <a:ext cx="554014" cy="56897"/>
        </a:xfrm>
        <a:custGeom>
          <a:avLst/>
          <a:gdLst/>
          <a:ahLst/>
          <a:cxnLst/>
          <a:rect l="0" t="0" r="0" b="0"/>
          <a:pathLst>
            <a:path>
              <a:moveTo>
                <a:pt x="0" y="24585"/>
              </a:moveTo>
              <a:lnTo>
                <a:pt x="540751" y="24585"/>
              </a:lnTo>
            </a:path>
          </a:pathLst>
        </a:custGeom>
        <a:noFill/>
        <a:ln w="1270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Aptos" panose="02110004020202020204"/>
            <a:ea typeface="+mn-ea"/>
            <a:cs typeface="+mn-cs"/>
          </a:endParaRPr>
        </a:p>
      </dsp:txBody>
      <dsp:txXfrm>
        <a:off x="1722805" y="1140579"/>
        <a:ext cx="0" cy="0"/>
      </dsp:txXfrm>
    </dsp:sp>
    <dsp:sp modelId="{E95806AA-07FA-4145-9F5F-E5F1240919BC}">
      <dsp:nvSpPr>
        <dsp:cNvPr id="0" name=""/>
        <dsp:cNvSpPr/>
      </dsp:nvSpPr>
      <dsp:spPr>
        <a:xfrm>
          <a:off x="2013663" y="425091"/>
          <a:ext cx="1459648" cy="1458677"/>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 lastClr="FFFFFF"/>
              </a:solidFill>
              <a:latin typeface="Arial" panose="020B0604020202020204" pitchFamily="34" charset="0"/>
              <a:ea typeface="+mn-ea"/>
              <a:cs typeface="Arial" panose="020B0604020202020204" pitchFamily="34" charset="0"/>
            </a:rPr>
            <a:t>Khung Giảm thiểu Rủi ro Thiên tai </a:t>
          </a:r>
        </a:p>
        <a:p>
          <a:pPr marL="0" lvl="0" indent="0" algn="ctr" defTabSz="533400">
            <a:lnSpc>
              <a:spcPct val="90000"/>
            </a:lnSpc>
            <a:spcBef>
              <a:spcPct val="0"/>
            </a:spcBef>
            <a:spcAft>
              <a:spcPct val="35000"/>
            </a:spcAft>
            <a:buNone/>
          </a:pPr>
          <a:r>
            <a:rPr lang="en-AU" sz="1200" b="1" kern="1200">
              <a:solidFill>
                <a:sysClr val="window" lastClr="FFFFFF"/>
              </a:solidFill>
              <a:latin typeface="Arial" panose="020B0604020202020204" pitchFamily="34" charset="0"/>
              <a:ea typeface="+mn-ea"/>
              <a:cs typeface="Arial" panose="020B0604020202020204" pitchFamily="34" charset="0"/>
            </a:rPr>
            <a:t>Quốc gia</a:t>
          </a:r>
          <a:endParaRPr lang="en-US" sz="1200" b="1" kern="1200">
            <a:solidFill>
              <a:sysClr val="window" lastClr="FFFFFF"/>
            </a:solidFill>
            <a:latin typeface="Arial" panose="020B0604020202020204" pitchFamily="34" charset="0"/>
            <a:ea typeface="+mn-ea"/>
            <a:cs typeface="Arial" panose="020B0604020202020204" pitchFamily="34" charset="0"/>
          </a:endParaRPr>
        </a:p>
      </dsp:txBody>
      <dsp:txXfrm>
        <a:off x="2056386" y="467814"/>
        <a:ext cx="1374202" cy="1373231"/>
      </dsp:txXfrm>
    </dsp:sp>
    <dsp:sp modelId="{A20474EB-FDB7-4AA2-B2BC-D7E4AF65A521}">
      <dsp:nvSpPr>
        <dsp:cNvPr id="0" name=""/>
        <dsp:cNvSpPr/>
      </dsp:nvSpPr>
      <dsp:spPr>
        <a:xfrm>
          <a:off x="3473311" y="1125981"/>
          <a:ext cx="583859" cy="56897"/>
        </a:xfrm>
        <a:custGeom>
          <a:avLst/>
          <a:gdLst/>
          <a:ahLst/>
          <a:cxnLst/>
          <a:rect l="0" t="0" r="0" b="0"/>
          <a:pathLst>
            <a:path>
              <a:moveTo>
                <a:pt x="0" y="24585"/>
              </a:moveTo>
              <a:lnTo>
                <a:pt x="572845" y="24585"/>
              </a:lnTo>
            </a:path>
          </a:pathLst>
        </a:custGeom>
        <a:noFill/>
        <a:ln w="12700" cap="flat" cmpd="sng" algn="ctr">
          <a:solidFill>
            <a:srgbClr val="156082">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Aptos" panose="02110004020202020204"/>
            <a:ea typeface="+mn-ea"/>
            <a:cs typeface="+mn-cs"/>
          </a:endParaRPr>
        </a:p>
      </dsp:txBody>
      <dsp:txXfrm>
        <a:off x="3750645" y="1139833"/>
        <a:ext cx="0" cy="0"/>
      </dsp:txXfrm>
    </dsp:sp>
    <dsp:sp modelId="{078EF66F-B650-402B-B7D5-860B6F500CB0}">
      <dsp:nvSpPr>
        <dsp:cNvPr id="0" name=""/>
        <dsp:cNvSpPr/>
      </dsp:nvSpPr>
      <dsp:spPr>
        <a:xfrm>
          <a:off x="4057171" y="425091"/>
          <a:ext cx="1459648" cy="1458677"/>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 lastClr="FFFFFF"/>
              </a:solidFill>
              <a:latin typeface="Arial" panose="020B0604020202020204" pitchFamily="34" charset="0"/>
              <a:ea typeface="+mn-ea"/>
              <a:cs typeface="Arial" panose="020B0604020202020204" pitchFamily="34" charset="0"/>
            </a:rPr>
            <a:t>Tiêu chuẩn Thực hành NDIS cho </a:t>
          </a:r>
        </a:p>
        <a:p>
          <a:pPr marL="0" lvl="0" indent="0" algn="ctr" defTabSz="533400">
            <a:lnSpc>
              <a:spcPct val="90000"/>
            </a:lnSpc>
            <a:spcBef>
              <a:spcPct val="0"/>
            </a:spcBef>
            <a:spcAft>
              <a:spcPct val="35000"/>
            </a:spcAft>
            <a:buNone/>
          </a:pPr>
          <a:r>
            <a:rPr lang="en-AU" sz="1200" b="1" kern="1200">
              <a:solidFill>
                <a:sysClr val="window" lastClr="FFFFFF"/>
              </a:solidFill>
              <a:latin typeface="Arial" panose="020B0604020202020204" pitchFamily="34" charset="0"/>
              <a:ea typeface="+mn-ea"/>
              <a:cs typeface="Arial" panose="020B0604020202020204" pitchFamily="34" charset="0"/>
            </a:rPr>
            <a:t>Quản lý Thảm họa và Trường hợp </a:t>
          </a:r>
        </a:p>
        <a:p>
          <a:pPr marL="0" lvl="0" indent="0" algn="ctr" defTabSz="533400">
            <a:lnSpc>
              <a:spcPct val="90000"/>
            </a:lnSpc>
            <a:spcBef>
              <a:spcPct val="0"/>
            </a:spcBef>
            <a:spcAft>
              <a:spcPct val="35000"/>
            </a:spcAft>
            <a:buNone/>
          </a:pPr>
          <a:r>
            <a:rPr lang="en-AU" sz="1200" b="1" kern="1200">
              <a:solidFill>
                <a:sysClr val="window" lastClr="FFFFFF"/>
              </a:solidFill>
              <a:latin typeface="Arial" panose="020B0604020202020204" pitchFamily="34" charset="0"/>
              <a:ea typeface="+mn-ea"/>
              <a:cs typeface="Arial" panose="020B0604020202020204" pitchFamily="34" charset="0"/>
            </a:rPr>
            <a:t>Khẩn cấp
Nghĩa vụ WHS</a:t>
          </a:r>
          <a:endParaRPr lang="en-US" sz="1200" b="1" kern="1200">
            <a:solidFill>
              <a:sysClr val="window" lastClr="FFFFFF"/>
            </a:solidFill>
            <a:latin typeface="Arial" panose="020B0604020202020204" pitchFamily="34" charset="0"/>
            <a:ea typeface="+mn-ea"/>
            <a:cs typeface="Arial" panose="020B0604020202020204" pitchFamily="34" charset="0"/>
          </a:endParaRPr>
        </a:p>
      </dsp:txBody>
      <dsp:txXfrm>
        <a:off x="4099894" y="467814"/>
        <a:ext cx="1374202" cy="137323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1">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chAlign" val="l"/>
          <dgm:param type="linDir" val="fromT"/>
        </dgm:alg>
      </dgm:if>
      <dgm:else name="Name2">
        <dgm:alg type="hierChild">
          <dgm:param type="chAlign" val="r"/>
          <dgm:param type="linDir" val="fromT"/>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chAlign" val="l"/>
                  <dgm:param type="linDir" val="fromT"/>
                </dgm:alg>
              </dgm:if>
              <dgm:else name="Name10">
                <dgm:alg type="hierChild">
                  <dgm:param type="chAlign" val="r"/>
                  <dgm:param type="linDir" val="fromT"/>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begPts" val="midR"/>
                        <dgm:param type="dim" val="1D"/>
                        <dgm:param type="endPts" val="midL"/>
                        <dgm:param type="endSty" val="noArr"/>
                      </dgm:alg>
                    </dgm:if>
                    <dgm:else name="Name14">
                      <dgm:alg type="conn">
                        <dgm:param type="begPts" val="midL"/>
                        <dgm:param type="dim" val="1D"/>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chAlign" val="l"/>
                          <dgm:param type="linDir" val="fromT"/>
                        </dgm:alg>
                      </dgm:if>
                      <dgm:else name="Name21">
                        <dgm:alg type="hierChild">
                          <dgm:param type="chAlign" val="r"/>
                          <dgm:param type="linDir" val="fromT"/>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807</Words>
  <Characters>4600</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Hòa nhập Người khuyết tật trong Giảm thiểu Rủi ro Thiên tai (Disability Inclusiv</vt:lpstr>
      <vt:lpstr>    Nghĩa vụ của Nhà cung cấp NDIS</vt:lpstr>
      <vt:lpstr>    Áp dụng DIDRR và Tiêu chuẩn Thực hành</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Oanh Hoang</cp:lastModifiedBy>
  <cp:revision>13</cp:revision>
  <dcterms:created xsi:type="dcterms:W3CDTF">2024-06-03T10:47:00Z</dcterms:created>
  <dcterms:modified xsi:type="dcterms:W3CDTF">2024-06-06T08:20:00Z</dcterms:modified>
</cp:coreProperties>
</file>